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b/>
          <w:b/>
          <w:szCs w:val="24"/>
        </w:rPr>
      </w:pPr>
      <w:r>
        <w:rPr>
          <w:rFonts w:cs="Times New Roman" w:ascii="Times New Roman" w:hAnsi="Times New Roman"/>
          <w:b/>
          <w:szCs w:val="24"/>
        </w:rPr>
        <w:t>Załącznik nr 1A do ZO</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left" w:pos="284" w:leader="none"/>
        </w:tabs>
        <w:spacing w:before="0" w:after="0"/>
        <w:jc w:val="left"/>
        <w:rPr/>
      </w:pPr>
      <w:r>
        <w:rPr>
          <w:rFonts w:eastAsia="Lucida Sans Unicode" w:cs="Times New Roman" w:ascii="Times New Roman" w:hAnsi="Times New Roman"/>
          <w:color w:val="000000"/>
          <w:kern w:val="2"/>
          <w:szCs w:val="24"/>
          <w:lang w:eastAsia="hi-IN" w:bidi="hi-IN"/>
        </w:rPr>
        <w:t>1)</w:t>
      </w:r>
      <w:r>
        <w:rPr>
          <w:rFonts w:eastAsia="Lucida Sans Unicode" w:cs="Times New Roman" w:ascii="Times New Roman" w:hAnsi="Times New Roman"/>
          <w:b/>
          <w:color w:val="000000"/>
          <w:kern w:val="2"/>
          <w:szCs w:val="24"/>
          <w:lang w:eastAsia="hi-IN" w:bidi="hi-IN"/>
        </w:rPr>
        <w:t xml:space="preserve"> </w:t>
      </w:r>
      <w:r>
        <w:rPr>
          <w:rFonts w:eastAsia="Lucida Sans Unicode" w:cs="Times New Roman" w:ascii="Times New Roman" w:hAnsi="Times New Roman"/>
          <w:color w:val="000000"/>
          <w:kern w:val="2"/>
          <w:lang w:eastAsia="hi-IN" w:bidi="hi-IN"/>
        </w:rPr>
        <w:t xml:space="preserve">Pakiet nr 1 – Modernizacja oprogramowania  </w:t>
      </w:r>
    </w:p>
    <w:p>
      <w:pPr>
        <w:pStyle w:val="NoSpacing"/>
        <w:rPr>
          <w:rFonts w:ascii="Times New Roman" w:hAnsi="Times New Roman" w:eastAsia="Lucida Sans Unicode" w:cs="Times New Roman"/>
          <w:color w:val="000000"/>
          <w:kern w:val="2"/>
          <w:lang w:eastAsia="hi-IN" w:bidi="hi-IN"/>
        </w:rPr>
      </w:pPr>
      <w:r>
        <w:rPr>
          <w:rFonts w:eastAsia="Lucida Sans Unicode" w:cs="Times New Roman" w:ascii="Times New Roman" w:hAnsi="Times New Roman"/>
          <w:color w:val="000000"/>
          <w:kern w:val="2"/>
          <w:lang w:eastAsia="hi-IN" w:bidi="hi-IN"/>
        </w:rPr>
      </w:r>
    </w:p>
    <w:p>
      <w:pPr>
        <w:pStyle w:val="NoSpacing"/>
        <w:spacing w:lineRule="auto" w:line="360"/>
        <w:rPr/>
      </w:pPr>
      <w:r>
        <w:rPr>
          <w:rFonts w:cs="Times New Roman" w:ascii="Times New Roman" w:hAnsi="Times New Roman"/>
          <w:sz w:val="24"/>
          <w:szCs w:val="24"/>
          <w:lang w:eastAsia="hi-IN" w:bidi="hi-IN"/>
        </w:rPr>
        <w:t>W ramach pakietu przewiduje się dostosowanie istniejącego oprogramowania do standardów opisanych w „Modelu referencyjnym procesów biznesowych realizowanych z wykorzystaniem aplikacji gabinetowej w Placówce POZ i integracji z systemem e-zdrowia (System e-Zdrowia P1)”</w:t>
      </w:r>
      <w:r>
        <w:rPr>
          <w:rStyle w:val="Zakotwiczenieprzypisudolnego"/>
          <w:rFonts w:cs="Times New Roman" w:ascii="Times New Roman" w:hAnsi="Times New Roman"/>
          <w:sz w:val="24"/>
          <w:szCs w:val="24"/>
          <w:lang w:eastAsia="hi-IN" w:bidi="hi-IN"/>
        </w:rPr>
        <w:footnoteReference w:id="2"/>
      </w:r>
      <w:r>
        <w:rPr>
          <w:rFonts w:cs="Times New Roman" w:ascii="Times New Roman" w:hAnsi="Times New Roman"/>
          <w:sz w:val="24"/>
          <w:szCs w:val="24"/>
          <w:lang w:eastAsia="hi-IN" w:bidi="hi-IN"/>
        </w:rPr>
        <w:t xml:space="preserve">. W ramach dostosowania przewiduje się następujący zakres: </w:t>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r>
    </w:p>
    <w:p>
      <w:pPr>
        <w:pStyle w:val="NoSpacing"/>
        <w:spacing w:lineRule="auto" w:line="36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Pakiet nr 1 - oprogramowanie</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Wdrożenie funkcjonalności umożliwiającej obsługę deklaracji wyboru lekarza POZ poprzez integrację systemu EUROSOFT z IKP (PU.1.1, PU.1.2, PU.1.3, PU.1.4)</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Integracja centrali telefonicznej z systemem EUROSOFT (PU.2.6, PU.2.7, PU.2.8)</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Wdrożenie funkcjonalności umożliwiającej tworzenie, obsługę , archiwizację oraz udostępnianie EDM za pośrednictwem P2 (PU.3.4, PU.3.5)</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Wdrożenie teleporad poprzez integrację systemu EUROSOFT z ZOOM (PU.3.6)</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 xml:space="preserve">Integracja systemu EUROSOFT z systemem RIS umożliwiająca automatyzację przesyłania zleceń na badania oraz tworzenie opisów wyników badań diagnostycznych, ich indeksowanie oraz wysyłanie do P1 (PU.4.1, PU.4.2) </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Modyfikacja raportów statystycznych i analitycznych w celu wdrożenia opieki koordynowanej (PU.6.1, PU.6.2, PU.6.3)</w:t>
      </w:r>
    </w:p>
    <w:p>
      <w:pPr>
        <w:pStyle w:val="Normal"/>
        <w:widowControl w:val="false"/>
        <w:tabs>
          <w:tab w:val="clear" w:pos="708"/>
          <w:tab w:val="left" w:pos="284" w:leader="none"/>
        </w:tabs>
        <w:spacing w:before="0" w:after="0"/>
        <w:jc w:val="left"/>
        <w:rPr/>
      </w:pPr>
      <w:r>
        <w:rPr/>
      </w:r>
    </w:p>
    <w:p>
      <w:pPr>
        <w:pStyle w:val="Normal"/>
        <w:widowControl w:val="false"/>
        <w:tabs>
          <w:tab w:val="clear" w:pos="708"/>
          <w:tab w:val="left" w:pos="284" w:leader="none"/>
        </w:tabs>
        <w:spacing w:before="0" w:after="0"/>
        <w:jc w:val="left"/>
        <w:rPr/>
      </w:pPr>
      <w:r>
        <w:rPr>
          <w:rFonts w:eastAsia="Lucida Sans Unicode" w:cs="Times New Roman" w:ascii="Times New Roman" w:hAnsi="Times New Roman"/>
          <w:color w:val="000000"/>
          <w:kern w:val="2"/>
          <w:szCs w:val="24"/>
          <w:lang w:eastAsia="hi-IN" w:bidi="hi-IN"/>
        </w:rPr>
        <w:t>2)</w:t>
      </w:r>
      <w:r>
        <w:rPr>
          <w:rFonts w:eastAsia="Lucida Sans Unicode" w:cs="Times New Roman" w:ascii="Times New Roman" w:hAnsi="Times New Roman"/>
          <w:b/>
          <w:color w:val="000000"/>
          <w:kern w:val="2"/>
          <w:szCs w:val="24"/>
          <w:lang w:eastAsia="hi-IN" w:bidi="hi-IN"/>
        </w:rPr>
        <w:t xml:space="preserve"> </w:t>
      </w:r>
      <w:r>
        <w:rPr>
          <w:rFonts w:eastAsia="Lucida Sans Unicode" w:cs="Times New Roman" w:ascii="Times New Roman" w:hAnsi="Times New Roman"/>
          <w:color w:val="000000"/>
          <w:kern w:val="2"/>
          <w:lang w:eastAsia="hi-IN" w:bidi="hi-IN"/>
        </w:rPr>
        <w:t>Pakiet nr 2 – oprogramowanie centrali telefonicznej</w:t>
      </w:r>
    </w:p>
    <w:p>
      <w:pPr>
        <w:pStyle w:val="NoSpacing"/>
        <w:widowControl w:val="false"/>
        <w:tabs>
          <w:tab w:val="clear" w:pos="708"/>
          <w:tab w:val="left" w:pos="284" w:leader="none"/>
        </w:tabs>
        <w:spacing w:lineRule="auto" w:line="360"/>
        <w:jc w:val="left"/>
        <w:rPr>
          <w:rFonts w:ascii="Times New Roman" w:hAnsi="Times New Roman" w:eastAsia="Lucida Sans Unicode" w:cs="Times New Roman"/>
          <w:color w:val="000000"/>
          <w:kern w:val="2"/>
          <w:lang w:eastAsia="hi-IN" w:bidi="hi-IN"/>
        </w:rPr>
      </w:pPr>
      <w:r>
        <w:rPr>
          <w:rFonts w:eastAsia="Lucida Sans Unicode" w:cs="Times New Roman" w:ascii="Times New Roman" w:hAnsi="Times New Roman"/>
          <w:color w:val="000000"/>
          <w:kern w:val="2"/>
          <w:lang w:eastAsia="hi-IN" w:bidi="hi-IN"/>
        </w:rPr>
        <w:t>Pakiet przewiduje zakup oraz wdrożenie oprogramowania do nowej centrali telefonicznej. W ramach wdrożenia przewiduje się integrację z istniejącym oprogramowaniem medycznym (EUROSOFT).</w:t>
      </w:r>
    </w:p>
    <w:p>
      <w:pPr>
        <w:pStyle w:val="NoSpacing"/>
        <w:widowControl w:val="false"/>
        <w:tabs>
          <w:tab w:val="clear" w:pos="708"/>
          <w:tab w:val="left" w:pos="284" w:leader="none"/>
        </w:tabs>
        <w:spacing w:lineRule="auto" w:line="360"/>
        <w:jc w:val="left"/>
        <w:rPr/>
      </w:pPr>
      <w:r>
        <w:rPr/>
      </w:r>
    </w:p>
    <w:p>
      <w:pPr>
        <w:pStyle w:val="Normal"/>
        <w:widowControl w:val="false"/>
        <w:tabs>
          <w:tab w:val="clear" w:pos="708"/>
          <w:tab w:val="left" w:pos="284" w:leader="none"/>
        </w:tabs>
        <w:spacing w:before="0" w:after="0"/>
        <w:jc w:val="left"/>
        <w:rPr/>
      </w:pPr>
      <w:r>
        <w:rPr>
          <w:rFonts w:eastAsia="Times New Roman" w:cs="Times New Roman" w:ascii="Times New Roman" w:hAnsi="Times New Roman"/>
          <w:color w:val="000000"/>
          <w:kern w:val="2"/>
          <w:lang w:eastAsia="hi-IN" w:bidi="hi-IN"/>
        </w:rPr>
        <w:t xml:space="preserve"> </w:t>
      </w:r>
      <w:r>
        <w:rPr>
          <w:rFonts w:eastAsia="Lucida Sans Unicode" w:cs="Times New Roman" w:ascii="Times New Roman" w:hAnsi="Times New Roman"/>
          <w:b/>
          <w:bCs/>
          <w:color w:val="000000"/>
          <w:kern w:val="2"/>
          <w:szCs w:val="24"/>
          <w:lang w:eastAsia="hi-IN" w:bidi="hi-IN"/>
        </w:rPr>
        <w:t>Pakiet nr 2 – oprogramowanie centrali telefonicznej</w:t>
      </w:r>
    </w:p>
    <w:p>
      <w:pPr>
        <w:pStyle w:val="NoSpacing"/>
        <w:numPr>
          <w:ilvl w:val="0"/>
          <w:numId w:val="3"/>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Zakup i wdrożenie oprogramowania centrali telefonicznej  (PU.2.6, PU.2.7, PU.2.8)</w:t>
      </w:r>
    </w:p>
    <w:p>
      <w:pPr>
        <w:pStyle w:val="NoSpacing"/>
        <w:spacing w:lineRule="auto" w:line="360"/>
        <w:ind w:left="2157" w:hanging="0"/>
        <w:rPr/>
      </w:pPr>
      <w:r>
        <w:rPr>
          <w:rFonts w:cs="Times New Roman" w:ascii="Times New Roman" w:hAnsi="Times New Roman"/>
          <w:sz w:val="24"/>
          <w:szCs w:val="24"/>
        </w:rPr>
        <w:t>(Oprogramowanie rozszerza możliwości centrali telefonicznej poprzez integrację z oprogramowaniem medycznym – identyfikacja na podstawie nr telefonu. Zapewnia panel dostępny przez przez przeglądarkę internetową dla operatorów (licencja na 5 stanowisk) oraz managera (licencja na 1 stanowisko). Umożliwia nagrywanie rozmów telefonicznych i zarządzanie nimi. Licencja na oprogramowanie jest bezterminowa i zawiera 12 miesięcy dostępu do aktualizacji i podstawowego wsparcia ograniczonego do kanału mailowego. Wdrożenie zawiera zdalną instalację i konfigurację oprogramowania oraz zdalne szkolenie administratora z obsługi i konfiguracji programu.)</w:t>
      </w:r>
    </w:p>
    <w:p>
      <w:pPr>
        <w:pStyle w:val="NoSpacing"/>
        <w:spacing w:lineRule="auto" w:line="360"/>
        <w:rPr/>
      </w:pPr>
      <w:r>
        <w:rPr/>
      </w:r>
    </w:p>
    <w:p>
      <w:pPr>
        <w:pStyle w:val="NoSpacing"/>
        <w:spacing w:lineRule="auto" w:line="360"/>
        <w:rPr/>
      </w:pPr>
      <w:r>
        <w:rPr/>
      </w:r>
    </w:p>
    <w:p>
      <w:pPr>
        <w:pStyle w:val="NoSpacing"/>
        <w:spacing w:lineRule="auto" w:line="360"/>
        <w:rPr/>
      </w:pPr>
      <w:r>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3) Pakiet nr  3 – sprzęt IT (serwery)</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W ramach pakietu przewiduje się dostarczenie sprzętu IT niezbędnego do poprawnego działania zmodernizowanego oprogramowania gabinetowego oraz oprogramowania centrali telefonicznej.</w:t>
      </w:r>
    </w:p>
    <w:p>
      <w:pPr>
        <w:pStyle w:val="NoSpacing"/>
        <w:spacing w:lineRule="auto" w:line="360"/>
        <w:rPr/>
      </w:pPr>
      <w:r>
        <w:rPr/>
      </w:r>
    </w:p>
    <w:p>
      <w:pPr>
        <w:pStyle w:val="NoSpacing"/>
        <w:spacing w:lineRule="auto" w:line="36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Pakiet nr  3 – sprzęt IT (serwery)</w:t>
      </w:r>
    </w:p>
    <w:p>
      <w:pPr>
        <w:pStyle w:val="NoSpacing"/>
        <w:numPr>
          <w:ilvl w:val="0"/>
          <w:numId w:val="2"/>
        </w:numPr>
        <w:spacing w:lineRule="auto" w:line="360"/>
        <w:ind w:left="714" w:hanging="357"/>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Serwer dla celów oprogramowania centrali telefonicznej zgodny z poniższymi wymaganiami:</w:t>
      </w:r>
    </w:p>
    <w:p>
      <w:pPr>
        <w:pStyle w:val="NoSpacing"/>
        <w:spacing w:lineRule="auto" w:line="360"/>
        <w:ind w:left="714" w:hanging="357"/>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r>
    </w:p>
    <w:tbl>
      <w:tblPr>
        <w:tblW w:w="9979" w:type="dxa"/>
        <w:jc w:val="left"/>
        <w:tblInd w:w="-639" w:type="dxa"/>
        <w:tblLayout w:type="fixed"/>
        <w:tblCellMar>
          <w:top w:w="0" w:type="dxa"/>
          <w:left w:w="70" w:type="dxa"/>
          <w:bottom w:w="0" w:type="dxa"/>
          <w:right w:w="70" w:type="dxa"/>
        </w:tblCellMar>
        <w:tblLook w:firstRow="1" w:noVBand="1" w:lastRow="0" w:firstColumn="1" w:lastColumn="0" w:noHBand="0" w:val="04a0"/>
      </w:tblPr>
      <w:tblGrid>
        <w:gridCol w:w="3037"/>
        <w:gridCol w:w="6941"/>
      </w:tblGrid>
      <w:tr>
        <w:trPr/>
        <w:tc>
          <w:tcPr>
            <w:tcW w:w="3037" w:type="dxa"/>
            <w:tcBorders>
              <w:top w:val="single" w:sz="8" w:space="0" w:color="000000"/>
              <w:left w:val="single" w:sz="8" w:space="0" w:color="000000"/>
              <w:bottom w:val="single" w:sz="8" w:space="0" w:color="000000"/>
              <w:right w:val="single" w:sz="8" w:space="0" w:color="000000"/>
            </w:tcBorders>
            <w:shd w:color="auto" w:fill="000000" w:val="clear"/>
            <w:vAlign w:val="center"/>
          </w:tcPr>
          <w:p>
            <w:pPr>
              <w:pStyle w:val="Normal"/>
              <w:widowControl w:val="false"/>
              <w:spacing w:before="0" w:after="160"/>
              <w:jc w:val="center"/>
              <w:rPr>
                <w:b/>
                <w:b/>
                <w:bCs/>
                <w:sz w:val="20"/>
                <w:szCs w:val="20"/>
              </w:rPr>
            </w:pPr>
            <w:r>
              <w:rPr>
                <w:b/>
                <w:bCs/>
                <w:sz w:val="20"/>
                <w:szCs w:val="20"/>
              </w:rPr>
              <w:t>Parametr</w:t>
            </w:r>
          </w:p>
        </w:tc>
        <w:tc>
          <w:tcPr>
            <w:tcW w:w="6941" w:type="dxa"/>
            <w:tcBorders>
              <w:top w:val="single" w:sz="8" w:space="0" w:color="000000"/>
              <w:bottom w:val="single" w:sz="8" w:space="0" w:color="000000"/>
              <w:right w:val="single" w:sz="8" w:space="0" w:color="000000"/>
            </w:tcBorders>
            <w:shd w:color="auto" w:fill="000000" w:val="clear"/>
            <w:vAlign w:val="center"/>
          </w:tcPr>
          <w:p>
            <w:pPr>
              <w:pStyle w:val="Normal"/>
              <w:widowControl w:val="false"/>
              <w:spacing w:before="0" w:after="160"/>
              <w:jc w:val="center"/>
              <w:rPr>
                <w:b/>
                <w:b/>
                <w:bCs/>
                <w:i/>
                <w:i/>
                <w:iCs/>
                <w:sz w:val="20"/>
                <w:szCs w:val="20"/>
              </w:rPr>
            </w:pPr>
            <w:r>
              <w:rPr>
                <w:b/>
                <w:bCs/>
                <w:sz w:val="20"/>
                <w:szCs w:val="20"/>
              </w:rPr>
              <w:t>Charakterystyka (wymagania minimalne)</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Obudowa</w:t>
            </w:r>
          </w:p>
        </w:tc>
        <w:tc>
          <w:tcPr>
            <w:tcW w:w="6941" w:type="dxa"/>
            <w:tcBorders>
              <w:bottom w:val="single" w:sz="8" w:space="0" w:color="000000"/>
              <w:right w:val="single" w:sz="8" w:space="0" w:color="000000"/>
            </w:tcBorders>
          </w:tcPr>
          <w:p>
            <w:pPr>
              <w:pStyle w:val="Normal"/>
              <w:widowControl w:val="false"/>
              <w:spacing w:before="0" w:after="160"/>
              <w:rPr>
                <w:sz w:val="20"/>
                <w:szCs w:val="20"/>
              </w:rPr>
            </w:pPr>
            <w:r>
              <w:rPr>
                <w:rFonts w:eastAsia="Times New Roman" w:cs="Calibri" w:cstheme="minorHAnsi"/>
                <w:color w:val="000000"/>
                <w:sz w:val="20"/>
                <w:szCs w:val="20"/>
              </w:rPr>
              <w:t xml:space="preserve">Obudowa Rack o wysokości max 1U z możliwością instalacji 4 dysków 3,5” </w:t>
            </w:r>
            <w:r>
              <w:rPr>
                <w:rFonts w:cs="Segoe UI"/>
                <w:color w:val="000000"/>
                <w:sz w:val="20"/>
                <w:szCs w:val="20"/>
              </w:rPr>
              <w:t>wraz z kompletem wysuwanych szyn umożliwiających montaż w szafie rack i wysuwanie serwera do celów serwisowych.</w:t>
            </w:r>
          </w:p>
        </w:tc>
      </w:tr>
      <w:tr>
        <w:trPr>
          <w:trHeight w:val="425"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Płyta główna</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Płyta główna z możliwością zainstalowania jednego procesora. Płyta główna musi być zaprojektowana przez producenta serwera i oznaczona jego znakiem firmowym.</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Chipset</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Dedykowany przez producenta procesora do pracy w serwerach </w:t>
            </w:r>
            <w:r>
              <w:rPr>
                <w:rFonts w:eastAsia="Times New Roman" w:cs="Calibri" w:cstheme="minorHAnsi"/>
                <w:sz w:val="20"/>
                <w:szCs w:val="20"/>
              </w:rPr>
              <w:t>jedno</w:t>
            </w:r>
            <w:r>
              <w:rPr>
                <w:rFonts w:eastAsia="Times New Roman" w:cs="Calibri" w:cstheme="minorHAnsi"/>
                <w:color w:val="000000"/>
                <w:sz w:val="20"/>
                <w:szCs w:val="20"/>
              </w:rPr>
              <w:t>procesorowych</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Procesor</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Jeden procesor 4-rdzeniowy, min. 3.4GHz, </w:t>
            </w:r>
            <w:r>
              <w:rPr>
                <w:sz w:val="20"/>
                <w:szCs w:val="20"/>
              </w:rPr>
              <w:t>umożliwiający osiągnięcie wyniku min</w:t>
            </w:r>
            <w:r>
              <w:rPr>
                <w:color w:val="FF0000"/>
                <w:sz w:val="20"/>
                <w:szCs w:val="20"/>
              </w:rPr>
              <w:t xml:space="preserve">. </w:t>
            </w:r>
            <w:r>
              <w:rPr>
                <w:sz w:val="20"/>
                <w:szCs w:val="20"/>
              </w:rPr>
              <w:t>13100 w CPU Mark dostępnym na stronie www.cpubenchmark.net.</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Pamięć RAM</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2X16GB pamięci RAM ECC UDIMM o częstotliwości pracy 3200MT/s.</w:t>
            </w:r>
          </w:p>
          <w:p>
            <w:pPr>
              <w:pStyle w:val="Normal"/>
              <w:widowControl w:val="false"/>
              <w:spacing w:lineRule="auto" w:line="240" w:before="0" w:after="0"/>
              <w:rPr>
                <w:sz w:val="20"/>
                <w:szCs w:val="20"/>
              </w:rPr>
            </w:pPr>
            <w:r>
              <w:rPr>
                <w:rFonts w:eastAsia="Times New Roman" w:cs="Calibri" w:cstheme="minorHAnsi"/>
                <w:color w:val="000000"/>
                <w:sz w:val="20"/>
                <w:szCs w:val="20"/>
              </w:rPr>
              <w:t>Płyta powinna obsługiwać do min. 128GB, na płycie głównej powinno znajdować się minimum 4 sloty przeznaczone dla pamięci</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Karta graficzna</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Zintegrowana karta graficzna umożliwiająca rozdzielczość min. 1920x1200</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Wbudowane porty</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 3 porty USB w tym 1 port USB 3.0 z tyłu obudowy, 1 port VGA na tylnym panelu, min. 1 port RS232</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Gniazda PCI</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 2 sloty PCIe generacji 4</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Interfejsy sieciowe/FC/SAS</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sz w:val="20"/>
                <w:szCs w:val="20"/>
              </w:rPr>
              <w:t xml:space="preserve">Wbudowane min. </w:t>
            </w:r>
            <w:r>
              <w:rPr>
                <w:rFonts w:eastAsia="Times New Roman" w:cs="Calibri" w:cstheme="minorHAnsi"/>
                <w:color w:val="000000"/>
                <w:sz w:val="20"/>
                <w:szCs w:val="20"/>
              </w:rPr>
              <w:t xml:space="preserve">2 interfejsy sieciowe 1Gb Ethernet w standardzie BaseT </w:t>
            </w:r>
          </w:p>
        </w:tc>
      </w:tr>
      <w:tr>
        <w:trPr/>
        <w:tc>
          <w:tcPr>
            <w:tcW w:w="3037"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sz w:val="20"/>
                <w:szCs w:val="20"/>
              </w:rPr>
            </w:pPr>
            <w:r>
              <w:rPr>
                <w:b/>
                <w:bCs/>
                <w:sz w:val="20"/>
                <w:szCs w:val="20"/>
              </w:rPr>
              <w:t>Kontroler dysków</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sz w:val="20"/>
                <w:szCs w:val="20"/>
              </w:rPr>
              <w:t>Sprzętowy  kontroler  dyskowy  SATA  6Gb/s  /  SAS  12Gb/s, wymagane konfiguracje poziomów RAID: 0, 1, 10</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Dyski twarde</w:t>
            </w:r>
          </w:p>
        </w:tc>
        <w:tc>
          <w:tcPr>
            <w:tcW w:w="6941" w:type="dxa"/>
            <w:tcBorders>
              <w:bottom w:val="single" w:sz="8" w:space="0" w:color="000000"/>
              <w:right w:val="single" w:sz="8" w:space="0" w:color="000000"/>
            </w:tcBorders>
          </w:tcPr>
          <w:p>
            <w:pPr>
              <w:pStyle w:val="Normal"/>
              <w:widowControl w:val="false"/>
              <w:rPr>
                <w:sz w:val="20"/>
                <w:szCs w:val="20"/>
              </w:rPr>
            </w:pPr>
            <w:r>
              <w:rPr>
                <w:rFonts w:cs="Calibri" w:cstheme="minorHAnsi"/>
                <w:sz w:val="20"/>
                <w:szCs w:val="20"/>
                <w:lang w:val="de-DE"/>
              </w:rPr>
              <w:t>Możliwość instalacji dysków SAS, SATA, SSD, NL SAS</w:t>
            </w:r>
          </w:p>
          <w:p>
            <w:pPr>
              <w:pStyle w:val="Normal"/>
              <w:widowControl w:val="false"/>
              <w:rPr/>
            </w:pPr>
            <w:r>
              <w:rPr>
                <w:rFonts w:cs="Calibri" w:cstheme="minorHAnsi"/>
                <w:sz w:val="20"/>
                <w:szCs w:val="20"/>
                <w:lang w:val="de-DE"/>
              </w:rPr>
              <w:t xml:space="preserve">Zainstalowane 4 dyski  </w:t>
            </w:r>
            <w:r>
              <w:rPr>
                <w:rStyle w:val="Fontstyle01"/>
                <w:rFonts w:cs="Calibri" w:cstheme="minorHAnsi"/>
                <w:sz w:val="20"/>
                <w:szCs w:val="20"/>
              </w:rPr>
              <w:t>2TB Hard Drive SATA 6Gbps 7.2K</w:t>
            </w:r>
          </w:p>
          <w:p>
            <w:pPr>
              <w:pStyle w:val="Normal"/>
              <w:widowControl w:val="false"/>
              <w:spacing w:lineRule="auto" w:line="240" w:before="0" w:after="0"/>
              <w:rPr>
                <w:sz w:val="20"/>
                <w:szCs w:val="20"/>
              </w:rPr>
            </w:pPr>
            <w:r>
              <w:rPr>
                <w:rFonts w:eastAsia="Times New Roman" w:cs="Calibri" w:cstheme="minorHAnsi"/>
                <w:color w:val="000000"/>
                <w:sz w:val="20"/>
                <w:szCs w:val="20"/>
                <w:lang w:val="de-DE"/>
              </w:rPr>
              <w:t xml:space="preserve">Możliwość zainstalowania </w:t>
            </w:r>
            <w:r>
              <w:rPr>
                <w:rFonts w:eastAsia="Times New Roman" w:cs="Calibri" w:cstheme="minorHAnsi"/>
                <w:color w:val="000000"/>
                <w:sz w:val="20"/>
                <w:szCs w:val="20"/>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Wentylatory</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Minimum 4 wentylatory</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Zasilacze</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O mocy maks. 450W.</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Bezpieczeństwo</w:t>
            </w:r>
          </w:p>
        </w:tc>
        <w:tc>
          <w:tcPr>
            <w:tcW w:w="6941" w:type="dxa"/>
            <w:tcBorders>
              <w:bottom w:val="single" w:sz="8" w:space="0" w:color="000000"/>
              <w:right w:val="single" w:sz="8" w:space="0" w:color="000000"/>
            </w:tcBorders>
            <w:vAlign w:val="center"/>
          </w:tcPr>
          <w:p>
            <w:pPr>
              <w:pStyle w:val="ListParagraph"/>
              <w:widowControl w:val="false"/>
              <w:numPr>
                <w:ilvl w:val="0"/>
                <w:numId w:val="2"/>
              </w:numPr>
              <w:textAlignment w:val="baseline"/>
              <w:rPr>
                <w:rFonts w:ascii="Arial" w:hAnsi="Arial"/>
                <w:sz w:val="20"/>
              </w:rPr>
            </w:pPr>
            <w:r>
              <w:rPr>
                <w:rFonts w:ascii="Arial" w:hAnsi="Arial"/>
                <w:color w:val="000000"/>
                <w:sz w:val="20"/>
              </w:rPr>
              <w:t>Możliwość wyłączenia w BIOS funkcji przycisku zasilania. </w:t>
            </w:r>
          </w:p>
          <w:p>
            <w:pPr>
              <w:pStyle w:val="ListParagraph"/>
              <w:widowControl w:val="false"/>
              <w:numPr>
                <w:ilvl w:val="0"/>
                <w:numId w:val="2"/>
              </w:numPr>
              <w:textAlignment w:val="baseline"/>
              <w:rPr>
                <w:rFonts w:ascii="Arial" w:hAnsi="Arial"/>
                <w:sz w:val="20"/>
              </w:rPr>
            </w:pPr>
            <w:r>
              <w:rPr>
                <w:rFonts w:ascii="Arial" w:hAnsi="Arial"/>
                <w:color w:val="000000"/>
                <w:sz w:val="20"/>
              </w:rPr>
              <w:t xml:space="preserve">BIOS ma możliwość przejścia do bezpiecznego trybu rozruchowego z możliwością zarządzania blokadą zasilania, panelem sterowania oraz zmianą hasła </w:t>
            </w:r>
          </w:p>
          <w:p>
            <w:pPr>
              <w:pStyle w:val="ListParagraph"/>
              <w:widowControl w:val="false"/>
              <w:numPr>
                <w:ilvl w:val="0"/>
                <w:numId w:val="2"/>
              </w:numPr>
              <w:textAlignment w:val="baseline"/>
              <w:rPr>
                <w:rFonts w:ascii="Arial" w:hAnsi="Arial"/>
                <w:sz w:val="20"/>
              </w:rPr>
            </w:pPr>
            <w:r>
              <w:rPr>
                <w:rFonts w:ascii="Arial" w:hAnsi="Arial"/>
                <w:color w:val="000000"/>
                <w:sz w:val="20"/>
              </w:rPr>
              <w:t xml:space="preserve">Wbudowany czujnik otwarcia obudowy współpracujący z BIOS i kartą zarządzającą. </w:t>
            </w:r>
          </w:p>
          <w:p>
            <w:pPr>
              <w:pStyle w:val="ListParagraph"/>
              <w:widowControl w:val="false"/>
              <w:numPr>
                <w:ilvl w:val="0"/>
                <w:numId w:val="2"/>
              </w:numPr>
              <w:textAlignment w:val="baseline"/>
              <w:rPr>
                <w:rFonts w:ascii="Arial" w:hAnsi="Arial"/>
                <w:sz w:val="20"/>
              </w:rPr>
            </w:pPr>
            <w:r>
              <w:rPr>
                <w:rFonts w:ascii="Arial" w:hAnsi="Arial"/>
                <w:color w:val="000000"/>
                <w:sz w:val="20"/>
              </w:rPr>
              <w:t>Moduł TPM 2.0 </w:t>
            </w:r>
          </w:p>
          <w:p>
            <w:pPr>
              <w:pStyle w:val="ListParagraph"/>
              <w:widowControl w:val="false"/>
              <w:numPr>
                <w:ilvl w:val="0"/>
                <w:numId w:val="2"/>
              </w:numPr>
              <w:textAlignment w:val="baseline"/>
              <w:rPr>
                <w:rFonts w:ascii="Arial" w:hAnsi="Arial"/>
                <w:sz w:val="20"/>
              </w:rPr>
            </w:pPr>
            <w:r>
              <w:rPr>
                <w:rFonts w:ascii="Arial" w:hAnsi="Arial"/>
                <w:color w:val="000000"/>
                <w:sz w:val="20"/>
              </w:rPr>
              <w:t>Możliwość dynamicznego włączania I wyłączania portów USB na obudowie – bez potrzeby restartu serwera</w:t>
            </w:r>
          </w:p>
          <w:p>
            <w:pPr>
              <w:pStyle w:val="Normal"/>
              <w:widowControl w:val="false"/>
              <w:spacing w:lineRule="auto" w:line="240" w:before="0" w:after="0"/>
              <w:rPr>
                <w:sz w:val="20"/>
                <w:szCs w:val="20"/>
              </w:rPr>
            </w:pPr>
            <w:r>
              <w:rPr>
                <w:color w:val="000000"/>
                <w:sz w:val="20"/>
                <w:szCs w:val="20"/>
              </w:rPr>
              <w:t>Możliwość wymazania danych ze znajdujących się dysków wewnątrz serwera – niezależne od zainstalowanego systemu operacyjnego, uruchamiane z poziomu zarządzania serwerem</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Karta Zarządzania</w:t>
            </w:r>
          </w:p>
        </w:tc>
        <w:tc>
          <w:tcPr>
            <w:tcW w:w="6941" w:type="dxa"/>
            <w:tcBorders>
              <w:bottom w:val="single" w:sz="8" w:space="0" w:color="000000"/>
              <w:right w:val="single" w:sz="8" w:space="0" w:color="000000"/>
            </w:tcBorders>
          </w:tcPr>
          <w:p>
            <w:pPr>
              <w:pStyle w:val="Normal"/>
              <w:widowControl w:val="false"/>
              <w:rPr>
                <w:sz w:val="20"/>
                <w:szCs w:val="20"/>
              </w:rPr>
            </w:pPr>
            <w:r>
              <w:rPr>
                <w:sz w:val="20"/>
                <w:szCs w:val="20"/>
              </w:rPr>
              <w:t>Niezależna od zainstalowanego na serwerze systemu operacyjnego posiadająca dedykowany port Gigabit Ethernet RJ-45 i umożliwiająca:</w:t>
            </w:r>
          </w:p>
          <w:p>
            <w:pPr>
              <w:pStyle w:val="ListParagraph"/>
              <w:widowControl w:val="false"/>
              <w:numPr>
                <w:ilvl w:val="0"/>
                <w:numId w:val="1"/>
              </w:numPr>
              <w:rPr>
                <w:rFonts w:ascii="Arial" w:hAnsi="Arial"/>
                <w:sz w:val="20"/>
              </w:rPr>
            </w:pPr>
            <w:r>
              <w:rPr>
                <w:rFonts w:ascii="Arial" w:hAnsi="Arial"/>
                <w:sz w:val="20"/>
              </w:rPr>
              <w:t>zdalny dostęp do graficznego interfejsu Web karty zarządzającej;</w:t>
            </w:r>
          </w:p>
          <w:p>
            <w:pPr>
              <w:pStyle w:val="ListParagraph"/>
              <w:widowControl w:val="false"/>
              <w:numPr>
                <w:ilvl w:val="0"/>
                <w:numId w:val="1"/>
              </w:numPr>
              <w:rPr>
                <w:rFonts w:ascii="Arial" w:hAnsi="Arial"/>
                <w:sz w:val="20"/>
              </w:rPr>
            </w:pPr>
            <w:r>
              <w:rPr>
                <w:rFonts w:ascii="Arial" w:hAnsi="Arial"/>
                <w:sz w:val="20"/>
              </w:rPr>
              <w:t>zdalne monitorowanie i informowanie o statusie serwera (m.in. prędkości obrotowej wentylatorów, konfiguracji serwera);</w:t>
            </w:r>
          </w:p>
          <w:p>
            <w:pPr>
              <w:pStyle w:val="ListParagraph"/>
              <w:widowControl w:val="false"/>
              <w:numPr>
                <w:ilvl w:val="0"/>
                <w:numId w:val="1"/>
              </w:numPr>
              <w:rPr>
                <w:rFonts w:ascii="Arial" w:hAnsi="Arial"/>
                <w:sz w:val="20"/>
              </w:rPr>
            </w:pPr>
            <w:r>
              <w:rPr>
                <w:rFonts w:ascii="Arial" w:hAnsi="Arial"/>
                <w:sz w:val="20"/>
              </w:rPr>
              <w:t>szyfrowane połączenie (TLS) oraz autentykacje i autoryzację użytkownika;</w:t>
            </w:r>
          </w:p>
          <w:p>
            <w:pPr>
              <w:pStyle w:val="ListParagraph"/>
              <w:widowControl w:val="false"/>
              <w:numPr>
                <w:ilvl w:val="0"/>
                <w:numId w:val="1"/>
              </w:numPr>
              <w:rPr>
                <w:rFonts w:ascii="Arial" w:hAnsi="Arial"/>
                <w:sz w:val="20"/>
              </w:rPr>
            </w:pPr>
            <w:r>
              <w:rPr>
                <w:rFonts w:ascii="Arial" w:hAnsi="Arial"/>
                <w:sz w:val="20"/>
              </w:rPr>
              <w:t>wsparcie dla IPv6;</w:t>
            </w:r>
          </w:p>
          <w:p>
            <w:pPr>
              <w:pStyle w:val="ListParagraph"/>
              <w:widowControl w:val="false"/>
              <w:numPr>
                <w:ilvl w:val="0"/>
                <w:numId w:val="1"/>
              </w:numPr>
              <w:rPr>
                <w:rFonts w:ascii="Arial" w:hAnsi="Arial"/>
                <w:sz w:val="20"/>
              </w:rPr>
            </w:pPr>
            <w:r>
              <w:rPr>
                <w:rFonts w:ascii="Arial" w:hAnsi="Arial"/>
                <w:sz w:val="20"/>
              </w:rPr>
              <w:t>wsparcie dla WSMAN (Web Service for Management); SNMP; IPMI2.0, SSH, Redfish;</w:t>
            </w:r>
          </w:p>
          <w:p>
            <w:pPr>
              <w:pStyle w:val="ListParagraph"/>
              <w:widowControl w:val="false"/>
              <w:numPr>
                <w:ilvl w:val="0"/>
                <w:numId w:val="1"/>
              </w:numPr>
              <w:rPr>
                <w:rFonts w:ascii="Arial" w:hAnsi="Arial"/>
                <w:sz w:val="20"/>
              </w:rPr>
            </w:pPr>
            <w:r>
              <w:rPr>
                <w:rFonts w:ascii="Arial" w:hAnsi="Arial"/>
                <w:sz w:val="20"/>
              </w:rPr>
              <w:t>możliwość zdalnego monitorowania w czasie rzeczywistym poboru prądu przez serwer;</w:t>
            </w:r>
          </w:p>
          <w:p>
            <w:pPr>
              <w:pStyle w:val="ListParagraph"/>
              <w:widowControl w:val="false"/>
              <w:numPr>
                <w:ilvl w:val="0"/>
                <w:numId w:val="1"/>
              </w:numPr>
              <w:rPr>
                <w:rFonts w:ascii="Arial" w:hAnsi="Arial"/>
                <w:sz w:val="20"/>
              </w:rPr>
            </w:pPr>
            <w:r>
              <w:rPr>
                <w:rFonts w:ascii="Arial" w:hAnsi="Arial"/>
                <w:sz w:val="20"/>
              </w:rPr>
              <w:t>możliwość zdalnego ustawienia limitu poboru prądu przez konkretny serwer;</w:t>
            </w:r>
          </w:p>
          <w:p>
            <w:pPr>
              <w:pStyle w:val="ListParagraph"/>
              <w:widowControl w:val="false"/>
              <w:numPr>
                <w:ilvl w:val="0"/>
                <w:numId w:val="1"/>
              </w:numPr>
              <w:rPr>
                <w:rFonts w:ascii="Arial" w:hAnsi="Arial"/>
                <w:sz w:val="20"/>
              </w:rPr>
            </w:pPr>
            <w:r>
              <w:rPr>
                <w:rFonts w:ascii="Arial" w:hAnsi="Arial"/>
                <w:sz w:val="20"/>
              </w:rPr>
              <w:t>integracja z Active Directory;</w:t>
            </w:r>
          </w:p>
          <w:p>
            <w:pPr>
              <w:pStyle w:val="ListParagraph"/>
              <w:widowControl w:val="false"/>
              <w:numPr>
                <w:ilvl w:val="0"/>
                <w:numId w:val="1"/>
              </w:numPr>
              <w:rPr>
                <w:rFonts w:ascii="Arial" w:hAnsi="Arial"/>
                <w:sz w:val="20"/>
              </w:rPr>
            </w:pPr>
            <w:r>
              <w:rPr>
                <w:rFonts w:ascii="Arial" w:hAnsi="Arial"/>
                <w:sz w:val="20"/>
              </w:rPr>
              <w:t>możliwość obsługi przez dwóch administratorów jednocześnie;</w:t>
            </w:r>
          </w:p>
          <w:p>
            <w:pPr>
              <w:pStyle w:val="ListParagraph"/>
              <w:widowControl w:val="false"/>
              <w:numPr>
                <w:ilvl w:val="0"/>
                <w:numId w:val="1"/>
              </w:numPr>
              <w:rPr>
                <w:rFonts w:ascii="Arial" w:hAnsi="Arial"/>
                <w:sz w:val="20"/>
              </w:rPr>
            </w:pPr>
            <w:r>
              <w:rPr>
                <w:rFonts w:ascii="Arial" w:hAnsi="Arial"/>
                <w:sz w:val="20"/>
              </w:rPr>
              <w:t>wsparcie dla dynamic DNS;</w:t>
            </w:r>
          </w:p>
          <w:p>
            <w:pPr>
              <w:pStyle w:val="ListParagraph"/>
              <w:widowControl w:val="false"/>
              <w:numPr>
                <w:ilvl w:val="0"/>
                <w:numId w:val="1"/>
              </w:numPr>
              <w:rPr>
                <w:rFonts w:ascii="Arial" w:hAnsi="Arial"/>
                <w:sz w:val="20"/>
              </w:rPr>
            </w:pPr>
            <w:r>
              <w:rPr>
                <w:rFonts w:ascii="Arial" w:hAnsi="Arial"/>
                <w:sz w:val="20"/>
              </w:rPr>
              <w:t>możliwość bezpośredniego zarządzania poprzez dedykowany port USB na przednim panelu serwera</w:t>
            </w:r>
          </w:p>
          <w:p>
            <w:pPr>
              <w:pStyle w:val="Normal"/>
              <w:widowControl w:val="false"/>
              <w:spacing w:before="0" w:after="160"/>
              <w:ind w:left="360" w:hanging="0"/>
              <w:rPr>
                <w:sz w:val="20"/>
                <w:szCs w:val="20"/>
              </w:rPr>
            </w:pPr>
            <w:r>
              <w:rPr>
                <w:sz w:val="20"/>
                <w:szCs w:val="20"/>
              </w:rPr>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Oprogramowanie do zarządzania</w:t>
            </w:r>
          </w:p>
        </w:tc>
        <w:tc>
          <w:tcPr>
            <w:tcW w:w="6941" w:type="dxa"/>
            <w:tcBorders>
              <w:bottom w:val="single" w:sz="8" w:space="0" w:color="000000"/>
              <w:right w:val="single" w:sz="8" w:space="0" w:color="000000"/>
            </w:tcBorders>
            <w:vAlign w:val="center"/>
          </w:tcPr>
          <w:p>
            <w:pPr>
              <w:pStyle w:val="ListParagraph"/>
              <w:widowControl w:val="false"/>
              <w:numPr>
                <w:ilvl w:val="0"/>
                <w:numId w:val="1"/>
              </w:numPr>
              <w:rPr>
                <w:rFonts w:ascii="Arial" w:hAnsi="Arial"/>
                <w:sz w:val="20"/>
              </w:rPr>
            </w:pPr>
            <w:r>
              <w:rPr>
                <w:rFonts w:ascii="Arial" w:hAnsi="Arial"/>
                <w:sz w:val="20"/>
              </w:rPr>
              <w:t>Wsparcie dla serwerów, urządzeń sieciowych oraz pamięci masowych </w:t>
            </w:r>
          </w:p>
          <w:p>
            <w:pPr>
              <w:pStyle w:val="ListParagraph"/>
              <w:widowControl w:val="false"/>
              <w:numPr>
                <w:ilvl w:val="0"/>
                <w:numId w:val="1"/>
              </w:numPr>
              <w:rPr>
                <w:rFonts w:ascii="Arial" w:hAnsi="Arial"/>
                <w:sz w:val="20"/>
              </w:rPr>
            </w:pPr>
            <w:r>
              <w:rPr>
                <w:rFonts w:ascii="Arial" w:hAnsi="Arial"/>
                <w:sz w:val="20"/>
              </w:rPr>
              <w:t>integracja z Active Directory </w:t>
            </w:r>
          </w:p>
          <w:p>
            <w:pPr>
              <w:pStyle w:val="ListParagraph"/>
              <w:widowControl w:val="false"/>
              <w:numPr>
                <w:ilvl w:val="0"/>
                <w:numId w:val="1"/>
              </w:numPr>
              <w:rPr>
                <w:rFonts w:ascii="Arial" w:hAnsi="Arial"/>
                <w:sz w:val="20"/>
              </w:rPr>
            </w:pPr>
            <w:r>
              <w:rPr>
                <w:rFonts w:ascii="Arial" w:hAnsi="Arial"/>
                <w:sz w:val="20"/>
              </w:rPr>
              <w:t>Możliwość zarządzania dostarczonymi serwerami bez udziału dedykowanego agenta </w:t>
            </w:r>
          </w:p>
          <w:p>
            <w:pPr>
              <w:pStyle w:val="ListParagraph"/>
              <w:widowControl w:val="false"/>
              <w:numPr>
                <w:ilvl w:val="0"/>
                <w:numId w:val="1"/>
              </w:numPr>
              <w:rPr>
                <w:rFonts w:ascii="Arial" w:hAnsi="Arial"/>
                <w:sz w:val="20"/>
              </w:rPr>
            </w:pPr>
            <w:r>
              <w:rPr>
                <w:rFonts w:ascii="Arial" w:hAnsi="Arial"/>
                <w:sz w:val="20"/>
              </w:rPr>
              <w:t>Wsparcie dla protokołów SNMP, IPMI, Linux SSH, Redfish </w:t>
            </w:r>
          </w:p>
          <w:p>
            <w:pPr>
              <w:pStyle w:val="ListParagraph"/>
              <w:widowControl w:val="false"/>
              <w:numPr>
                <w:ilvl w:val="0"/>
                <w:numId w:val="1"/>
              </w:numPr>
              <w:rPr>
                <w:rFonts w:ascii="Arial" w:hAnsi="Arial"/>
                <w:sz w:val="20"/>
              </w:rPr>
            </w:pPr>
            <w:r>
              <w:rPr>
                <w:rFonts w:ascii="Arial" w:hAnsi="Arial"/>
                <w:sz w:val="20"/>
              </w:rPr>
              <w:t>Możliwość uruchamiania procesu wykrywania urządzeń w oparciu o harmonogram </w:t>
            </w:r>
          </w:p>
          <w:p>
            <w:pPr>
              <w:pStyle w:val="ListParagraph"/>
              <w:widowControl w:val="false"/>
              <w:numPr>
                <w:ilvl w:val="0"/>
                <w:numId w:val="1"/>
              </w:numPr>
              <w:rPr>
                <w:rFonts w:ascii="Arial" w:hAnsi="Arial"/>
                <w:sz w:val="20"/>
              </w:rPr>
            </w:pPr>
            <w:r>
              <w:rPr>
                <w:rFonts w:ascii="Arial" w:hAnsi="Arial"/>
                <w:sz w:val="20"/>
              </w:rPr>
              <w:t>Szczegółowy opis wykrytych systemów oraz ich komponentów </w:t>
            </w:r>
          </w:p>
          <w:p>
            <w:pPr>
              <w:pStyle w:val="ListParagraph"/>
              <w:widowControl w:val="false"/>
              <w:numPr>
                <w:ilvl w:val="0"/>
                <w:numId w:val="1"/>
              </w:numPr>
              <w:rPr>
                <w:rFonts w:ascii="Arial" w:hAnsi="Arial"/>
                <w:sz w:val="20"/>
              </w:rPr>
            </w:pPr>
            <w:r>
              <w:rPr>
                <w:rFonts w:ascii="Arial" w:hAnsi="Arial"/>
                <w:sz w:val="20"/>
              </w:rPr>
              <w:t>Możliwość eksportu raportu do CSV, HTML, XLS, PDF </w:t>
            </w:r>
          </w:p>
          <w:p>
            <w:pPr>
              <w:pStyle w:val="ListParagraph"/>
              <w:widowControl w:val="false"/>
              <w:numPr>
                <w:ilvl w:val="0"/>
                <w:numId w:val="1"/>
              </w:numPr>
              <w:rPr>
                <w:rFonts w:ascii="Arial" w:hAnsi="Arial"/>
                <w:sz w:val="20"/>
              </w:rPr>
            </w:pPr>
            <w:r>
              <w:rPr>
                <w:rFonts w:ascii="Arial" w:hAnsi="Arial"/>
                <w:sz w:val="20"/>
              </w:rPr>
              <w:t>Możliwość tworzenia własnych raportów w opraciu o wszystkie informacje zawarte w inwentarzu. </w:t>
            </w:r>
          </w:p>
          <w:p>
            <w:pPr>
              <w:pStyle w:val="ListParagraph"/>
              <w:widowControl w:val="false"/>
              <w:numPr>
                <w:ilvl w:val="0"/>
                <w:numId w:val="1"/>
              </w:numPr>
              <w:rPr>
                <w:rFonts w:ascii="Arial" w:hAnsi="Arial"/>
                <w:sz w:val="20"/>
              </w:rPr>
            </w:pPr>
            <w:r>
              <w:rPr>
                <w:rFonts w:ascii="Arial" w:hAnsi="Arial"/>
                <w:sz w:val="20"/>
              </w:rPr>
              <w:t>Grupowanie urządzeń w oparciu o kryteria użytkownika </w:t>
            </w:r>
          </w:p>
          <w:p>
            <w:pPr>
              <w:pStyle w:val="ListParagraph"/>
              <w:widowControl w:val="false"/>
              <w:numPr>
                <w:ilvl w:val="0"/>
                <w:numId w:val="1"/>
              </w:numPr>
              <w:rPr>
                <w:rFonts w:ascii="Arial" w:hAnsi="Arial"/>
                <w:sz w:val="20"/>
              </w:rPr>
            </w:pPr>
            <w:r>
              <w:rPr>
                <w:rFonts w:ascii="Arial" w:hAnsi="Arial"/>
                <w:sz w:val="20"/>
              </w:rPr>
              <w:t>Tworzenie automatycznie grup urządzeń w opraciu o dowolny element konfiguracji serwera np. Nazwa, lokalizacja, system operacyjny, obsadzenie slotów PCIe, pozostałego czasu gwarancji </w:t>
            </w:r>
          </w:p>
          <w:p>
            <w:pPr>
              <w:pStyle w:val="ListParagraph"/>
              <w:widowControl w:val="false"/>
              <w:numPr>
                <w:ilvl w:val="0"/>
                <w:numId w:val="1"/>
              </w:numPr>
              <w:rPr>
                <w:rFonts w:ascii="Arial" w:hAnsi="Arial"/>
                <w:sz w:val="20"/>
              </w:rPr>
            </w:pPr>
            <w:r>
              <w:rPr>
                <w:rFonts w:ascii="Arial" w:hAnsi="Arial"/>
                <w:sz w:val="20"/>
              </w:rPr>
              <w:t>Możliwość uruchamiania narzędzi zarządzających w poszczególnych urządzeniach </w:t>
            </w:r>
          </w:p>
          <w:p>
            <w:pPr>
              <w:pStyle w:val="ListParagraph"/>
              <w:widowControl w:val="false"/>
              <w:numPr>
                <w:ilvl w:val="0"/>
                <w:numId w:val="1"/>
              </w:numPr>
              <w:rPr>
                <w:rFonts w:ascii="Arial" w:hAnsi="Arial"/>
                <w:sz w:val="20"/>
              </w:rPr>
            </w:pPr>
            <w:r>
              <w:rPr>
                <w:rFonts w:ascii="Arial" w:hAnsi="Arial"/>
                <w:sz w:val="20"/>
              </w:rPr>
              <w:t>Szybki podgląd stanu środowiska </w:t>
            </w:r>
          </w:p>
          <w:p>
            <w:pPr>
              <w:pStyle w:val="ListParagraph"/>
              <w:widowControl w:val="false"/>
              <w:numPr>
                <w:ilvl w:val="0"/>
                <w:numId w:val="1"/>
              </w:numPr>
              <w:rPr>
                <w:rFonts w:ascii="Arial" w:hAnsi="Arial"/>
                <w:sz w:val="20"/>
              </w:rPr>
            </w:pPr>
            <w:r>
              <w:rPr>
                <w:rFonts w:ascii="Arial" w:hAnsi="Arial"/>
                <w:sz w:val="20"/>
              </w:rPr>
              <w:t>Podsumowanie stanu dla każdego urządzenia </w:t>
            </w:r>
          </w:p>
          <w:p>
            <w:pPr>
              <w:pStyle w:val="ListParagraph"/>
              <w:widowControl w:val="false"/>
              <w:numPr>
                <w:ilvl w:val="0"/>
                <w:numId w:val="1"/>
              </w:numPr>
              <w:rPr>
                <w:rFonts w:ascii="Arial" w:hAnsi="Arial"/>
                <w:sz w:val="20"/>
              </w:rPr>
            </w:pPr>
            <w:r>
              <w:rPr>
                <w:rFonts w:ascii="Arial" w:hAnsi="Arial"/>
                <w:sz w:val="20"/>
              </w:rPr>
              <w:t>Szczegółowy status urządzenia/elementu/komponentu </w:t>
            </w:r>
          </w:p>
          <w:p>
            <w:pPr>
              <w:pStyle w:val="ListParagraph"/>
              <w:widowControl w:val="false"/>
              <w:numPr>
                <w:ilvl w:val="0"/>
                <w:numId w:val="1"/>
              </w:numPr>
              <w:rPr>
                <w:rFonts w:ascii="Arial" w:hAnsi="Arial"/>
                <w:sz w:val="20"/>
              </w:rPr>
            </w:pPr>
            <w:r>
              <w:rPr>
                <w:rFonts w:ascii="Arial" w:hAnsi="Arial"/>
                <w:sz w:val="20"/>
              </w:rPr>
              <w:t>Generowanie alertów przy zmianie stanu urządzenia. </w:t>
            </w:r>
          </w:p>
          <w:p>
            <w:pPr>
              <w:pStyle w:val="ListParagraph"/>
              <w:widowControl w:val="false"/>
              <w:numPr>
                <w:ilvl w:val="0"/>
                <w:numId w:val="1"/>
              </w:numPr>
              <w:rPr>
                <w:rFonts w:ascii="Arial" w:hAnsi="Arial"/>
                <w:sz w:val="20"/>
              </w:rPr>
            </w:pPr>
            <w:r>
              <w:rPr>
                <w:rFonts w:ascii="Arial" w:hAnsi="Arial"/>
                <w:sz w:val="20"/>
              </w:rPr>
              <w:t>Filtry raportów umożliwiające podgląd najważniejszych zdarzeń </w:t>
            </w:r>
          </w:p>
          <w:p>
            <w:pPr>
              <w:pStyle w:val="ListParagraph"/>
              <w:widowControl w:val="false"/>
              <w:numPr>
                <w:ilvl w:val="0"/>
                <w:numId w:val="1"/>
              </w:numPr>
              <w:rPr>
                <w:rFonts w:ascii="Arial" w:hAnsi="Arial"/>
                <w:sz w:val="20"/>
              </w:rPr>
            </w:pPr>
            <w:r>
              <w:rPr>
                <w:rFonts w:ascii="Arial" w:hAnsi="Arial"/>
                <w:sz w:val="20"/>
              </w:rPr>
              <w:t xml:space="preserve">Integracja z service desk producenta dostarczonej platformy sprzętowej </w:t>
            </w:r>
          </w:p>
          <w:p>
            <w:pPr>
              <w:pStyle w:val="ListParagraph"/>
              <w:widowControl w:val="false"/>
              <w:numPr>
                <w:ilvl w:val="0"/>
                <w:numId w:val="1"/>
              </w:numPr>
              <w:rPr>
                <w:rFonts w:ascii="Arial" w:hAnsi="Arial"/>
                <w:sz w:val="20"/>
              </w:rPr>
            </w:pPr>
            <w:r>
              <w:rPr>
                <w:rFonts w:ascii="Arial" w:hAnsi="Arial"/>
                <w:sz w:val="20"/>
              </w:rPr>
              <w:t xml:space="preserve">Możliwość importu plików MIB </w:t>
            </w:r>
          </w:p>
          <w:p>
            <w:pPr>
              <w:pStyle w:val="ListParagraph"/>
              <w:widowControl w:val="false"/>
              <w:numPr>
                <w:ilvl w:val="0"/>
                <w:numId w:val="1"/>
              </w:numPr>
              <w:rPr>
                <w:rFonts w:ascii="Arial" w:hAnsi="Arial"/>
                <w:sz w:val="20"/>
              </w:rPr>
            </w:pPr>
            <w:r>
              <w:rPr>
                <w:rFonts w:ascii="Arial" w:hAnsi="Arial"/>
                <w:sz w:val="20"/>
              </w:rPr>
              <w:t>Możliwość definiowania ról administratorów </w:t>
            </w:r>
          </w:p>
          <w:p>
            <w:pPr>
              <w:pStyle w:val="ListParagraph"/>
              <w:widowControl w:val="false"/>
              <w:numPr>
                <w:ilvl w:val="0"/>
                <w:numId w:val="1"/>
              </w:numPr>
              <w:rPr>
                <w:rFonts w:ascii="Arial" w:hAnsi="Arial"/>
                <w:sz w:val="20"/>
              </w:rPr>
            </w:pPr>
            <w:r>
              <w:rPr>
                <w:rFonts w:ascii="Arial" w:hAnsi="Arial"/>
                <w:sz w:val="20"/>
              </w:rPr>
              <w:t>Możliwość zdalnej aktualizacji oprogramowania wewnętrznego serwerów </w:t>
            </w:r>
          </w:p>
          <w:p>
            <w:pPr>
              <w:pStyle w:val="ListParagraph"/>
              <w:widowControl w:val="false"/>
              <w:numPr>
                <w:ilvl w:val="0"/>
                <w:numId w:val="1"/>
              </w:numPr>
              <w:rPr>
                <w:rFonts w:ascii="Arial" w:hAnsi="Arial"/>
                <w:sz w:val="20"/>
              </w:rPr>
            </w:pPr>
            <w:r>
              <w:rPr>
                <w:rFonts w:ascii="Arial" w:hAnsi="Arial"/>
                <w:sz w:val="20"/>
              </w:rPr>
              <w:t>Aktualizacja oparta o wybranie źródła bibliotek (lokalna, on-line producenta oferowanego rozwiązania) </w:t>
            </w:r>
          </w:p>
          <w:p>
            <w:pPr>
              <w:pStyle w:val="ListParagraph"/>
              <w:widowControl w:val="false"/>
              <w:numPr>
                <w:ilvl w:val="0"/>
                <w:numId w:val="1"/>
              </w:numPr>
              <w:rPr>
                <w:rFonts w:ascii="Arial" w:hAnsi="Arial"/>
                <w:sz w:val="20"/>
              </w:rPr>
            </w:pPr>
            <w:r>
              <w:rPr>
                <w:rFonts w:ascii="Arial" w:hAnsi="Arial"/>
                <w:sz w:val="20"/>
              </w:rPr>
              <w:t>Możliwość instalacji oprogramowania wewnętrznego bez potrzeby instalacji agenta </w:t>
            </w:r>
          </w:p>
          <w:p>
            <w:pPr>
              <w:pStyle w:val="ListParagraph"/>
              <w:widowControl w:val="false"/>
              <w:numPr>
                <w:ilvl w:val="0"/>
                <w:numId w:val="1"/>
              </w:numPr>
              <w:rPr>
                <w:rFonts w:ascii="Arial" w:hAnsi="Arial"/>
                <w:sz w:val="20"/>
              </w:rPr>
            </w:pPr>
            <w:r>
              <w:rPr>
                <w:rFonts w:ascii="Arial" w:hAnsi="Arial"/>
                <w:sz w:val="20"/>
              </w:rPr>
              <w:t>Możliwość automatycznego generowania i zgłaszania incydentów awarii bezpośrednio do centrum serwisowego producenta serwerów </w:t>
            </w:r>
          </w:p>
          <w:p>
            <w:pPr>
              <w:pStyle w:val="ListParagraph"/>
              <w:widowControl w:val="false"/>
              <w:numPr>
                <w:ilvl w:val="0"/>
                <w:numId w:val="1"/>
              </w:numPr>
              <w:rPr>
                <w:rFonts w:ascii="Arial" w:hAnsi="Arial"/>
                <w:sz w:val="20"/>
              </w:rPr>
            </w:pPr>
            <w:r>
              <w:rPr>
                <w:rFonts w:ascii="Arial" w:hAnsi="Arial"/>
                <w:sz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aletrów, MAC adresów kart sieciowych, stanie poszczególnych komponentów serwera. </w:t>
            </w:r>
          </w:p>
          <w:p>
            <w:pPr>
              <w:pStyle w:val="ListParagraph"/>
              <w:widowControl w:val="false"/>
              <w:numPr>
                <w:ilvl w:val="0"/>
                <w:numId w:val="1"/>
              </w:numPr>
              <w:rPr>
                <w:rFonts w:ascii="Arial" w:hAnsi="Arial"/>
                <w:sz w:val="20"/>
              </w:rPr>
            </w:pPr>
            <w:r>
              <w:rPr>
                <w:rFonts w:ascii="Arial" w:hAnsi="Arial"/>
                <w:sz w:val="20"/>
              </w:rPr>
              <w:t>Możliwość tworzenia sprzętowej konfiguracji bazowej i na jej podstwie weryfikacji środowiska w celu wykrycia rozbieżności. </w:t>
            </w:r>
          </w:p>
          <w:p>
            <w:pPr>
              <w:pStyle w:val="ListParagraph"/>
              <w:widowControl w:val="false"/>
              <w:numPr>
                <w:ilvl w:val="0"/>
                <w:numId w:val="1"/>
              </w:numPr>
              <w:rPr>
                <w:rFonts w:ascii="Arial" w:hAnsi="Arial"/>
                <w:sz w:val="20"/>
              </w:rPr>
            </w:pPr>
            <w:r>
              <w:rPr>
                <w:rFonts w:ascii="Arial" w:hAnsi="Arial"/>
                <w:sz w:val="20"/>
              </w:rPr>
              <w:t>Wdrażanie serwerów, rozwiązań modularnych oraz przełączników sieciowych w opraciu o profile </w:t>
            </w:r>
          </w:p>
          <w:p>
            <w:pPr>
              <w:pStyle w:val="ListParagraph"/>
              <w:widowControl w:val="false"/>
              <w:numPr>
                <w:ilvl w:val="0"/>
                <w:numId w:val="1"/>
              </w:numPr>
              <w:rPr>
                <w:rFonts w:ascii="Arial" w:hAnsi="Arial"/>
                <w:sz w:val="20"/>
              </w:rPr>
            </w:pPr>
            <w:r>
              <w:rPr>
                <w:rFonts w:ascii="Arial" w:hAnsi="Arial"/>
                <w:sz w:val="20"/>
              </w:rPr>
              <w:t xml:space="preserve">Możliwość migracji ustawień serwera wraz z wirtualnymi adresami sieciowymi (MAC, WWN, IQN) między urządzeniami. </w:t>
            </w:r>
          </w:p>
          <w:p>
            <w:pPr>
              <w:pStyle w:val="ListParagraph"/>
              <w:widowControl w:val="false"/>
              <w:numPr>
                <w:ilvl w:val="0"/>
                <w:numId w:val="1"/>
              </w:numPr>
              <w:rPr>
                <w:rFonts w:ascii="Arial" w:hAnsi="Arial"/>
                <w:sz w:val="20"/>
              </w:rPr>
            </w:pPr>
            <w:r>
              <w:rPr>
                <w:rFonts w:ascii="Arial" w:hAnsi="Arial"/>
                <w:sz w:val="20"/>
              </w:rPr>
              <w:t xml:space="preserve">Tworzenie gotowych paczek informacji umożliwiających zdiagnozowanie awarii urządzenia przez serwis producenta. </w:t>
            </w:r>
          </w:p>
          <w:p>
            <w:pPr>
              <w:pStyle w:val="ListParagraph"/>
              <w:widowControl w:val="false"/>
              <w:numPr>
                <w:ilvl w:val="0"/>
                <w:numId w:val="1"/>
              </w:numPr>
              <w:rPr>
                <w:rFonts w:ascii="Arial" w:hAnsi="Arial"/>
                <w:sz w:val="20"/>
              </w:rPr>
            </w:pPr>
            <w:r>
              <w:rPr>
                <w:rFonts w:ascii="Arial" w:hAnsi="Arial"/>
                <w:sz w:val="20"/>
              </w:rPr>
              <w:t>Zdalne uruchamianie diagnostyki serwera. </w:t>
            </w:r>
          </w:p>
          <w:p>
            <w:pPr>
              <w:pStyle w:val="ListParagraph"/>
              <w:widowControl w:val="false"/>
              <w:numPr>
                <w:ilvl w:val="0"/>
                <w:numId w:val="1"/>
              </w:numPr>
              <w:rPr>
                <w:rFonts w:ascii="Arial" w:hAnsi="Arial"/>
                <w:sz w:val="20"/>
              </w:rPr>
            </w:pPr>
            <w:r>
              <w:rPr>
                <w:rFonts w:ascii="Arial" w:hAnsi="Arial"/>
                <w:sz w:val="20"/>
              </w:rPr>
              <w:t xml:space="preserve">Dedykowana aplikacja na urządzenia mobilne integrująca się z wyżej opisanymi oprogramowaniem zarzadzającym. </w:t>
            </w:r>
          </w:p>
          <w:p>
            <w:pPr>
              <w:pStyle w:val="Normal"/>
              <w:widowControl w:val="false"/>
              <w:spacing w:before="0" w:after="160"/>
              <w:rPr>
                <w:sz w:val="20"/>
                <w:szCs w:val="20"/>
              </w:rPr>
            </w:pPr>
            <w:r>
              <w:rPr>
                <w:sz w:val="20"/>
                <w:szCs w:val="20"/>
              </w:rPr>
              <w:t>Oprogramowanie dostarczane jako wirtualny appliance dla KVM, ESXi i Hyper-V. </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Gwarancja</w:t>
            </w:r>
          </w:p>
        </w:tc>
        <w:tc>
          <w:tcPr>
            <w:tcW w:w="6941" w:type="dxa"/>
            <w:tcBorders>
              <w:bottom w:val="single" w:sz="8" w:space="0" w:color="000000"/>
              <w:right w:val="single" w:sz="8" w:space="0" w:color="000000"/>
            </w:tcBorders>
            <w:vAlign w:val="bottom"/>
          </w:tcPr>
          <w:p>
            <w:pPr>
              <w:pStyle w:val="Normal"/>
              <w:widowControl w:val="false"/>
              <w:rPr>
                <w:sz w:val="20"/>
                <w:szCs w:val="20"/>
              </w:rPr>
            </w:pPr>
            <w:r>
              <w:rPr>
                <w:rFonts w:eastAsia="Times New Roman" w:cs="Calibri"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pPr>
              <w:pStyle w:val="Normal"/>
              <w:widowControl w:val="false"/>
              <w:rPr>
                <w:sz w:val="20"/>
                <w:szCs w:val="20"/>
              </w:rPr>
            </w:pPr>
            <w:r>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pPr>
              <w:pStyle w:val="Normal"/>
              <w:widowControl w:val="false"/>
              <w:rPr>
                <w:sz w:val="20"/>
                <w:szCs w:val="20"/>
              </w:rPr>
            </w:pPr>
            <w:r>
              <w:rPr>
                <w:sz w:val="20"/>
                <w:szCs w:val="20"/>
              </w:rPr>
              <w:t>Firma serwisująca musi posiadać ISO 9001:2008 na świadczenie usług serwisowych oraz posiadać autoryzacje producenta urządzeń – dokumenty potwierdzające należy załączyć do oferty.</w:t>
            </w:r>
          </w:p>
          <w:p>
            <w:pPr>
              <w:pStyle w:val="Normal"/>
              <w:widowControl w:val="false"/>
              <w:rPr>
                <w:sz w:val="20"/>
                <w:szCs w:val="20"/>
              </w:rPr>
            </w:pPr>
            <w:r>
              <w:rPr>
                <w:sz w:val="20"/>
                <w:szCs w:val="20"/>
              </w:rPr>
              <w:t>Wymagane dołączenie do oferty oświadczenia Producenta potwierdzając, że Serwis urządzeń będzie realizowany bezpośrednio przez Producenta i/lub we współpracy z Autoryzowanym Partnerem Serwisowym Producenta.</w:t>
            </w:r>
          </w:p>
          <w:p>
            <w:pPr>
              <w:pStyle w:val="Normal"/>
              <w:widowControl w:val="false"/>
              <w:spacing w:lineRule="auto" w:line="240" w:before="0" w:after="0"/>
              <w:rPr>
                <w:sz w:val="20"/>
                <w:szCs w:val="20"/>
              </w:rPr>
            </w:pPr>
            <w:r>
              <w:rPr>
                <w:rFonts w:eastAsia="Times New Roman" w:cs="Calibri" w:cstheme="minorHAnsi"/>
                <w:color w:val="000000"/>
                <w:sz w:val="20"/>
                <w:szCs w:val="20"/>
              </w:rPr>
              <w:t>Możliwość rozszerzenia gwarancji przez producenta do 7 lat.</w:t>
            </w:r>
          </w:p>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r>
          </w:p>
          <w:p>
            <w:pPr>
              <w:pStyle w:val="Normal"/>
              <w:widowControl w:val="false"/>
              <w:spacing w:lineRule="auto" w:line="240" w:before="0" w:after="0"/>
              <w:rPr>
                <w:sz w:val="20"/>
                <w:szCs w:val="20"/>
              </w:rPr>
            </w:pPr>
            <w:r>
              <w:rPr>
                <w:rFonts w:eastAsia="Times New Roman" w:cs="Calibri"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r>
          </w:p>
          <w:p>
            <w:pPr>
              <w:pStyle w:val="Normal"/>
              <w:widowControl w:val="false"/>
              <w:spacing w:lineRule="auto" w:line="240" w:before="0" w:after="0"/>
              <w:rPr>
                <w:sz w:val="20"/>
                <w:szCs w:val="20"/>
              </w:rPr>
            </w:pPr>
            <w:r>
              <w:rPr>
                <w:rFonts w:eastAsia="Times New Roman" w:cs="Calibri" w:cstheme="minorHAnsi"/>
                <w:color w:val="000000"/>
                <w:sz w:val="20"/>
                <w:szCs w:val="20"/>
              </w:rPr>
              <w:t>W przypadku uszkodzenia dysku twardego, dysk pozostaje u Zamawiającego</w:t>
            </w:r>
          </w:p>
        </w:tc>
      </w:tr>
      <w:tr>
        <w:trPr>
          <w:trHeight w:val="230" w:hRule="atLeast"/>
        </w:trPr>
        <w:tc>
          <w:tcPr>
            <w:tcW w:w="3037" w:type="dxa"/>
            <w:tcBorders>
              <w:left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Certyfikaty</w:t>
            </w:r>
          </w:p>
        </w:tc>
        <w:tc>
          <w:tcPr>
            <w:tcW w:w="6941" w:type="dxa"/>
            <w:tcBorders>
              <w:bottom w:val="single" w:sz="4" w:space="0" w:color="000000"/>
              <w:right w:val="single" w:sz="8" w:space="0" w:color="000000"/>
            </w:tcBorders>
            <w:vAlign w:val="bottom"/>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Serwer musi być wyprodukowany zgodnie z normą ISO-9001 oraz ISO-14001. </w:t>
              <w:br/>
              <w:t>Serwer musi posiadać deklaracja CE.</w:t>
              <w:br/>
              <w:t xml:space="preserve">Oferowany serwer musi znajdować się na liście Windows Server Catalog i posiadać status „Certified for Windows” </w:t>
            </w:r>
            <w:r>
              <w:rPr>
                <w:color w:val="000000"/>
                <w:sz w:val="20"/>
                <w:szCs w:val="20"/>
              </w:rPr>
              <w:t>dla systemów Microsoft, Windows Server 2019, Windows Server 2022.</w:t>
            </w:r>
          </w:p>
        </w:tc>
      </w:tr>
      <w:tr>
        <w:trPr>
          <w:trHeight w:val="230" w:hRule="atLeast"/>
        </w:trPr>
        <w:tc>
          <w:tcPr>
            <w:tcW w:w="3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Dokumentacja</w:t>
            </w:r>
          </w:p>
        </w:tc>
        <w:tc>
          <w:tcPr>
            <w:tcW w:w="694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sz w:val="20"/>
                <w:szCs w:val="20"/>
              </w:rPr>
            </w:pPr>
            <w:r>
              <w:rPr>
                <w:rFonts w:eastAsia="Times New Roman" w:cs="Calibri" w:cstheme="minorHAnsi"/>
                <w:color w:val="000000"/>
                <w:sz w:val="20"/>
                <w:szCs w:val="20"/>
              </w:rPr>
              <w:t>Zamawiający wymaga dokumentacji w języku polskim lub angielskim.</w:t>
              <w:br/>
              <w:t>Możliwość telefonicznego sprawdzenia konfiguracji sprzętowej serwera oraz warunków gwarancji po podaniu numeru seryjnego bezpośrednio u producenta lub jego przedstawiciela.</w:t>
            </w:r>
          </w:p>
        </w:tc>
      </w:tr>
      <w:tr>
        <w:trPr>
          <w:trHeight w:val="230" w:hRule="atLeast"/>
        </w:trPr>
        <w:tc>
          <w:tcPr>
            <w:tcW w:w="3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System operacyjny</w:t>
            </w:r>
          </w:p>
        </w:tc>
        <w:tc>
          <w:tcPr>
            <w:tcW w:w="694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sz w:val="20"/>
                <w:szCs w:val="20"/>
              </w:rPr>
            </w:pPr>
            <w:r>
              <w:rPr>
                <w:rFonts w:eastAsia="Times New Roman" w:cs="Calibri" w:cstheme="minorHAnsi"/>
                <w:color w:val="000000"/>
                <w:sz w:val="20"/>
                <w:szCs w:val="20"/>
              </w:rPr>
              <w:t>Windows Server 2022 Essentials</w:t>
            </w:r>
          </w:p>
        </w:tc>
      </w:tr>
    </w:tbl>
    <w:p>
      <w:pPr>
        <w:pStyle w:val="Normal"/>
        <w:ind w:left="714" w:hanging="357"/>
        <w:rPr>
          <w:rFonts w:ascii="Times New Roman" w:hAnsi="Times New Roman" w:cs="Times New Roman"/>
          <w:szCs w:val="24"/>
          <w:lang w:eastAsia="hi-IN" w:bidi="hi-IN"/>
        </w:rPr>
      </w:pPr>
      <w:r>
        <w:rPr>
          <w:rFonts w:cs="Times New Roman" w:ascii="Times New Roman" w:hAnsi="Times New Roman"/>
          <w:szCs w:val="24"/>
          <w:lang w:eastAsia="hi-IN" w:bidi="hi-IN"/>
        </w:rPr>
      </w:r>
    </w:p>
    <w:p>
      <w:pPr>
        <w:pStyle w:val="NoSpacing"/>
        <w:spacing w:lineRule="auto" w:line="360"/>
        <w:ind w:left="714" w:hanging="357"/>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 xml:space="preserve">Serwery dla utrzymania modernizowanej aplikacji gabinetowej – </w:t>
      </w:r>
      <w:r>
        <w:rPr>
          <w:rFonts w:cs="Times New Roman" w:ascii="Times New Roman" w:hAnsi="Times New Roman"/>
          <w:b/>
          <w:bCs/>
          <w:sz w:val="24"/>
          <w:szCs w:val="24"/>
        </w:rPr>
        <w:t>2 szt.</w:t>
      </w:r>
      <w:r>
        <w:rPr>
          <w:rFonts w:cs="Times New Roman" w:ascii="Times New Roman" w:hAnsi="Times New Roman"/>
          <w:sz w:val="24"/>
          <w:szCs w:val="24"/>
        </w:rPr>
        <w:t xml:space="preserve"> -  zgodne z poniższymi wymaganiami:</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tbl>
      <w:tblPr>
        <w:tblW w:w="9979" w:type="dxa"/>
        <w:jc w:val="left"/>
        <w:tblInd w:w="-639" w:type="dxa"/>
        <w:tblLayout w:type="fixed"/>
        <w:tblCellMar>
          <w:top w:w="0" w:type="dxa"/>
          <w:left w:w="70" w:type="dxa"/>
          <w:bottom w:w="0" w:type="dxa"/>
          <w:right w:w="70" w:type="dxa"/>
        </w:tblCellMar>
        <w:tblLook w:firstRow="1" w:noVBand="1" w:lastRow="0" w:firstColumn="1" w:lastColumn="0" w:noHBand="0" w:val="04a0"/>
      </w:tblPr>
      <w:tblGrid>
        <w:gridCol w:w="3037"/>
        <w:gridCol w:w="6941"/>
      </w:tblGrid>
      <w:tr>
        <w:trPr/>
        <w:tc>
          <w:tcPr>
            <w:tcW w:w="3037" w:type="dxa"/>
            <w:tcBorders>
              <w:top w:val="single" w:sz="8" w:space="0" w:color="000000"/>
              <w:left w:val="single" w:sz="8" w:space="0" w:color="000000"/>
              <w:bottom w:val="single" w:sz="8" w:space="0" w:color="000000"/>
              <w:right w:val="single" w:sz="8" w:space="0" w:color="000000"/>
            </w:tcBorders>
            <w:shd w:color="auto" w:fill="000000" w:val="clear"/>
            <w:vAlign w:val="center"/>
          </w:tcPr>
          <w:p>
            <w:pPr>
              <w:pStyle w:val="Normal"/>
              <w:widowControl w:val="false"/>
              <w:spacing w:before="0" w:after="160"/>
              <w:jc w:val="center"/>
              <w:rPr>
                <w:b/>
                <w:b/>
                <w:bCs/>
                <w:sz w:val="20"/>
                <w:szCs w:val="20"/>
              </w:rPr>
            </w:pPr>
            <w:r>
              <w:rPr>
                <w:b/>
                <w:bCs/>
                <w:sz w:val="20"/>
                <w:szCs w:val="20"/>
              </w:rPr>
              <w:t>Parametr</w:t>
            </w:r>
          </w:p>
        </w:tc>
        <w:tc>
          <w:tcPr>
            <w:tcW w:w="6941" w:type="dxa"/>
            <w:tcBorders>
              <w:top w:val="single" w:sz="8" w:space="0" w:color="000000"/>
              <w:bottom w:val="single" w:sz="8" w:space="0" w:color="000000"/>
              <w:right w:val="single" w:sz="8" w:space="0" w:color="000000"/>
            </w:tcBorders>
            <w:shd w:color="auto" w:fill="000000" w:val="clear"/>
            <w:vAlign w:val="center"/>
          </w:tcPr>
          <w:p>
            <w:pPr>
              <w:pStyle w:val="Normal"/>
              <w:widowControl w:val="false"/>
              <w:spacing w:before="0" w:after="160"/>
              <w:jc w:val="center"/>
              <w:rPr>
                <w:b/>
                <w:b/>
                <w:bCs/>
                <w:i/>
                <w:i/>
                <w:iCs/>
                <w:sz w:val="20"/>
                <w:szCs w:val="20"/>
              </w:rPr>
            </w:pPr>
            <w:r>
              <w:rPr>
                <w:b/>
                <w:bCs/>
                <w:sz w:val="20"/>
                <w:szCs w:val="20"/>
              </w:rPr>
              <w:t>Charakterystyka (wymagania minimalne)</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Obudowa</w:t>
            </w:r>
          </w:p>
        </w:tc>
        <w:tc>
          <w:tcPr>
            <w:tcW w:w="6941" w:type="dxa"/>
            <w:tcBorders>
              <w:bottom w:val="single" w:sz="8" w:space="0" w:color="000000"/>
              <w:right w:val="single" w:sz="8" w:space="0" w:color="000000"/>
            </w:tcBorders>
          </w:tcPr>
          <w:p>
            <w:pPr>
              <w:pStyle w:val="Normal"/>
              <w:widowControl w:val="false"/>
              <w:spacing w:before="0" w:after="160"/>
              <w:rPr>
                <w:sz w:val="20"/>
                <w:szCs w:val="20"/>
              </w:rPr>
            </w:pPr>
            <w:r>
              <w:rPr>
                <w:rFonts w:eastAsia="Times New Roman" w:cs="Calibri" w:cstheme="minorHAnsi"/>
                <w:color w:val="000000"/>
                <w:sz w:val="20"/>
                <w:szCs w:val="20"/>
              </w:rPr>
              <w:t xml:space="preserve">Obudowa Rack o wysokości max 1U z możliwością instalacji 8 dysków 2,5” </w:t>
            </w:r>
            <w:r>
              <w:rPr>
                <w:rFonts w:cs="Segoe UI"/>
                <w:color w:val="000000"/>
                <w:sz w:val="20"/>
                <w:szCs w:val="20"/>
              </w:rPr>
              <w:t>wraz z kompletem wysuwanych szyn umożliwiających montaż w szafie rack i wysuwanie serwera do celów serwisowych razem z organizerem do kabli.</w:t>
            </w:r>
          </w:p>
        </w:tc>
      </w:tr>
      <w:tr>
        <w:trPr>
          <w:trHeight w:val="425"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Płyta główna</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Płyta główna z możliwością zainstalowania jednego procesora. Płyta główna musi być zaprojektowana przez producenta serwera i oznaczona jego znakiem firmowym.</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Chipset</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Dedykowany przez producenta procesora do pracy w serwerach </w:t>
            </w:r>
            <w:r>
              <w:rPr>
                <w:rFonts w:eastAsia="Times New Roman" w:cs="Calibri" w:cstheme="minorHAnsi"/>
                <w:sz w:val="20"/>
                <w:szCs w:val="20"/>
              </w:rPr>
              <w:t>jedno</w:t>
            </w:r>
            <w:r>
              <w:rPr>
                <w:rFonts w:eastAsia="Times New Roman" w:cs="Calibri" w:cstheme="minorHAnsi"/>
                <w:color w:val="000000"/>
                <w:sz w:val="20"/>
                <w:szCs w:val="20"/>
              </w:rPr>
              <w:t>procesorowych</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Procesor</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Jeden procesor 8-rdzeniowy, min. 2.6GHz, </w:t>
            </w:r>
            <w:r>
              <w:rPr>
                <w:sz w:val="20"/>
                <w:szCs w:val="20"/>
              </w:rPr>
              <w:t>umożliwiający osiągnięcie wyniku min</w:t>
            </w:r>
            <w:r>
              <w:rPr>
                <w:color w:val="FF0000"/>
                <w:sz w:val="20"/>
                <w:szCs w:val="20"/>
              </w:rPr>
              <w:t xml:space="preserve">. </w:t>
            </w:r>
            <w:r>
              <w:rPr>
                <w:sz w:val="20"/>
                <w:szCs w:val="20"/>
              </w:rPr>
              <w:t>62 w teście SPECrate2017_int_base dostępnym na stronie www.spec.org w konfiguracji jednoprocesorowej.</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Pamięć RAM</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2x32GB pamięci RAM ECC UDIMM o częstotliwości pracy 3200MT/s.</w:t>
            </w:r>
          </w:p>
          <w:p>
            <w:pPr>
              <w:pStyle w:val="Normal"/>
              <w:widowControl w:val="false"/>
              <w:spacing w:lineRule="auto" w:line="240" w:before="0" w:after="0"/>
              <w:rPr>
                <w:sz w:val="20"/>
                <w:szCs w:val="20"/>
              </w:rPr>
            </w:pPr>
            <w:r>
              <w:rPr>
                <w:rFonts w:eastAsia="Times New Roman" w:cs="Calibri" w:cstheme="minorHAnsi"/>
                <w:color w:val="000000"/>
                <w:sz w:val="20"/>
                <w:szCs w:val="20"/>
              </w:rPr>
              <w:t>Płyta powinna obsługiwać do min. 128GB, na płycie głównej powinno znajdować się minimum 4 sloty przeznaczone dla pamięci</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Karta graficzna</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Zintegrowana karta graficzna umożliwiająca rozdzielczość min. 1920x1200</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Wbudowane porty</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 3 porty USB w tym 1 port USB 3.0 z tyłu obudowy, 1 port VGA na tylnym panelu, min. 1 port RS232</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Gniazda PCI</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 2 sloty PCIe generacji 4</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Interfejsy sieciowe/FC/SAS</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sz w:val="20"/>
                <w:szCs w:val="20"/>
              </w:rPr>
              <w:t xml:space="preserve">Wbudowane min. </w:t>
            </w:r>
            <w:r>
              <w:rPr>
                <w:rFonts w:eastAsia="Times New Roman" w:cs="Calibri" w:cstheme="minorHAnsi"/>
                <w:color w:val="000000"/>
                <w:sz w:val="20"/>
                <w:szCs w:val="20"/>
              </w:rPr>
              <w:t xml:space="preserve">2 interfejsy sieciowe 1Gb Ethernet w standardzie BaseT </w:t>
            </w:r>
          </w:p>
        </w:tc>
      </w:tr>
      <w:tr>
        <w:trPr/>
        <w:tc>
          <w:tcPr>
            <w:tcW w:w="3037"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sz w:val="20"/>
                <w:szCs w:val="20"/>
              </w:rPr>
            </w:pPr>
            <w:r>
              <w:rPr>
                <w:b/>
                <w:bCs/>
                <w:sz w:val="20"/>
                <w:szCs w:val="20"/>
              </w:rPr>
              <w:t>Kontroler dysków</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sz w:val="20"/>
                <w:szCs w:val="20"/>
              </w:rPr>
              <w:t>Sprzętowy  kontroler  dyskowy  SATA  6Gb/s  /  SAS  12Gb/s, wymagane konfiguracje poziomów RAID: 0, 1, 10</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cs="Calibri" w:cstheme="minorHAnsi"/>
                <w:b/>
                <w:bCs/>
                <w:color w:val="000000"/>
                <w:sz w:val="20"/>
                <w:szCs w:val="20"/>
              </w:rPr>
              <w:t>Dyski twarde</w:t>
            </w:r>
          </w:p>
        </w:tc>
        <w:tc>
          <w:tcPr>
            <w:tcW w:w="6941" w:type="dxa"/>
            <w:tcBorders>
              <w:bottom w:val="single" w:sz="8" w:space="0" w:color="000000"/>
              <w:right w:val="single" w:sz="8" w:space="0" w:color="000000"/>
            </w:tcBorders>
          </w:tcPr>
          <w:p>
            <w:pPr>
              <w:pStyle w:val="Normal"/>
              <w:widowControl w:val="false"/>
              <w:rPr>
                <w:sz w:val="20"/>
                <w:szCs w:val="20"/>
              </w:rPr>
            </w:pPr>
            <w:r>
              <w:rPr>
                <w:sz w:val="20"/>
                <w:szCs w:val="20"/>
                <w:lang w:val="de-DE"/>
              </w:rPr>
              <w:t>Możliwość instalacji dysków SAS, SATA, SSD, NL SAS</w:t>
            </w:r>
          </w:p>
          <w:p>
            <w:pPr>
              <w:pStyle w:val="Normal"/>
              <w:widowControl w:val="false"/>
              <w:rPr>
                <w:sz w:val="20"/>
                <w:szCs w:val="20"/>
              </w:rPr>
            </w:pPr>
            <w:r>
              <w:rPr>
                <w:sz w:val="20"/>
                <w:szCs w:val="20"/>
                <w:lang w:val="de-DE"/>
              </w:rPr>
              <w:t>Zainstalowane 4 dyski  SAS o pojemności min. 1.2 TB, 12Gbps, 10k Hot-Plug.</w:t>
            </w:r>
          </w:p>
          <w:p>
            <w:pPr>
              <w:pStyle w:val="Normal"/>
              <w:widowControl w:val="false"/>
              <w:spacing w:lineRule="auto" w:line="240" w:before="0" w:after="0"/>
              <w:rPr>
                <w:sz w:val="20"/>
                <w:szCs w:val="20"/>
              </w:rPr>
            </w:pPr>
            <w:r>
              <w:rPr>
                <w:rFonts w:eastAsia="Times New Roman" w:cs="Calibri" w:cstheme="minorHAnsi"/>
                <w:color w:val="000000"/>
                <w:sz w:val="20"/>
                <w:szCs w:val="20"/>
                <w:lang w:val="de-DE"/>
              </w:rPr>
              <w:t xml:space="preserve">Możliwość zainstalowania </w:t>
            </w:r>
            <w:r>
              <w:rPr>
                <w:rFonts w:eastAsia="Times New Roman" w:cs="Calibri" w:cstheme="minorHAnsi"/>
                <w:color w:val="000000"/>
                <w:sz w:val="20"/>
                <w:szCs w:val="20"/>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r>
      <w:tr>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sz w:val="20"/>
                <w:szCs w:val="20"/>
              </w:rPr>
              <w:t>Diagnostyka</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bCs/>
                <w:sz w:val="20"/>
                <w:szCs w:val="20"/>
              </w:rPr>
              <w:t>Możliwość wyposażenia w panel LCD umieszczony na froncie obudowy, umożliwiający wyświetlenie informacji o stanie procesora, pamięci, dysków, BIOS’u, zasilaniu oraz temperaturze.</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Wentylatory</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Minimum 4 wentylatory</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Zasilacze</w:t>
            </w:r>
          </w:p>
        </w:tc>
        <w:tc>
          <w:tcPr>
            <w:tcW w:w="6941" w:type="dxa"/>
            <w:tcBorders>
              <w:bottom w:val="single" w:sz="8" w:space="0" w:color="000000"/>
              <w:right w:val="single" w:sz="8" w:space="0" w:color="000000"/>
            </w:tcBorders>
          </w:tcPr>
          <w:p>
            <w:pPr>
              <w:pStyle w:val="Normal"/>
              <w:widowControl w:val="false"/>
              <w:spacing w:lineRule="auto" w:line="240" w:before="0" w:after="0"/>
              <w:rPr>
                <w:sz w:val="20"/>
                <w:szCs w:val="20"/>
              </w:rPr>
            </w:pPr>
            <w:r>
              <w:rPr>
                <w:rFonts w:eastAsia="Times New Roman" w:cs="Calibri" w:cstheme="minorHAnsi"/>
                <w:color w:val="000000"/>
                <w:sz w:val="20"/>
                <w:szCs w:val="20"/>
              </w:rPr>
              <w:t>Redundantne, o mocy maks. 600W.</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Bezpieczeństwo</w:t>
            </w:r>
          </w:p>
        </w:tc>
        <w:tc>
          <w:tcPr>
            <w:tcW w:w="6941" w:type="dxa"/>
            <w:tcBorders>
              <w:bottom w:val="single" w:sz="8" w:space="0" w:color="000000"/>
              <w:right w:val="single" w:sz="8" w:space="0" w:color="000000"/>
            </w:tcBorders>
            <w:vAlign w:val="center"/>
          </w:tcPr>
          <w:p>
            <w:pPr>
              <w:pStyle w:val="ListParagraph"/>
              <w:widowControl w:val="false"/>
              <w:numPr>
                <w:ilvl w:val="0"/>
                <w:numId w:val="4"/>
              </w:numPr>
              <w:textAlignment w:val="baseline"/>
              <w:rPr>
                <w:rFonts w:ascii="Arial" w:hAnsi="Arial"/>
                <w:sz w:val="20"/>
              </w:rPr>
            </w:pPr>
            <w:r>
              <w:rPr>
                <w:rFonts w:ascii="Arial" w:hAnsi="Arial"/>
                <w:color w:val="000000"/>
                <w:sz w:val="20"/>
              </w:rPr>
              <w:t>Zatrzask górnej pokrywy oraz blokada na ramce panela zamykana na klucz służąca do ochrony nieautoryzowanego dostępu do dysków twardych. </w:t>
            </w:r>
          </w:p>
          <w:p>
            <w:pPr>
              <w:pStyle w:val="ListParagraph"/>
              <w:widowControl w:val="false"/>
              <w:numPr>
                <w:ilvl w:val="0"/>
                <w:numId w:val="4"/>
              </w:numPr>
              <w:textAlignment w:val="baseline"/>
              <w:rPr>
                <w:rFonts w:ascii="Arial" w:hAnsi="Arial"/>
                <w:sz w:val="20"/>
              </w:rPr>
            </w:pPr>
            <w:r>
              <w:rPr>
                <w:rFonts w:ascii="Arial" w:hAnsi="Arial"/>
                <w:color w:val="000000"/>
                <w:sz w:val="20"/>
              </w:rPr>
              <w:t>Możliwość wyłączenia w BIOS funkcji przycisku zasilania. </w:t>
            </w:r>
          </w:p>
          <w:p>
            <w:pPr>
              <w:pStyle w:val="ListParagraph"/>
              <w:widowControl w:val="false"/>
              <w:numPr>
                <w:ilvl w:val="0"/>
                <w:numId w:val="4"/>
              </w:numPr>
              <w:textAlignment w:val="baseline"/>
              <w:rPr>
                <w:rFonts w:ascii="Arial" w:hAnsi="Arial"/>
                <w:sz w:val="20"/>
              </w:rPr>
            </w:pPr>
            <w:r>
              <w:rPr>
                <w:rFonts w:ascii="Arial" w:hAnsi="Arial"/>
                <w:color w:val="000000"/>
                <w:sz w:val="20"/>
              </w:rPr>
              <w:t xml:space="preserve">BIOS ma możliwość przejścia do bezpiecznego trybu rozruchowego z możliwością zarządzania blokadą zasilania, panelem sterowania oraz zmianą hasła </w:t>
            </w:r>
          </w:p>
          <w:p>
            <w:pPr>
              <w:pStyle w:val="ListParagraph"/>
              <w:widowControl w:val="false"/>
              <w:numPr>
                <w:ilvl w:val="0"/>
                <w:numId w:val="4"/>
              </w:numPr>
              <w:textAlignment w:val="baseline"/>
              <w:rPr>
                <w:rFonts w:ascii="Arial" w:hAnsi="Arial"/>
                <w:sz w:val="20"/>
              </w:rPr>
            </w:pPr>
            <w:r>
              <w:rPr>
                <w:rFonts w:ascii="Arial" w:hAnsi="Arial"/>
                <w:color w:val="000000"/>
                <w:sz w:val="20"/>
              </w:rPr>
              <w:t xml:space="preserve">Wbudowany czujnik otwarcia obudowy współpracujący z BIOS i kartą zarządzającą. </w:t>
            </w:r>
          </w:p>
          <w:p>
            <w:pPr>
              <w:pStyle w:val="ListParagraph"/>
              <w:widowControl w:val="false"/>
              <w:numPr>
                <w:ilvl w:val="0"/>
                <w:numId w:val="4"/>
              </w:numPr>
              <w:textAlignment w:val="baseline"/>
              <w:rPr>
                <w:rFonts w:ascii="Arial" w:hAnsi="Arial"/>
                <w:sz w:val="20"/>
              </w:rPr>
            </w:pPr>
            <w:r>
              <w:rPr>
                <w:rFonts w:ascii="Arial" w:hAnsi="Arial"/>
                <w:color w:val="000000"/>
                <w:sz w:val="20"/>
              </w:rPr>
              <w:t>Moduł TPM 2.0 </w:t>
            </w:r>
          </w:p>
          <w:p>
            <w:pPr>
              <w:pStyle w:val="ListParagraph"/>
              <w:widowControl w:val="false"/>
              <w:numPr>
                <w:ilvl w:val="0"/>
                <w:numId w:val="4"/>
              </w:numPr>
              <w:textAlignment w:val="baseline"/>
              <w:rPr>
                <w:rFonts w:ascii="Arial" w:hAnsi="Arial"/>
                <w:sz w:val="20"/>
              </w:rPr>
            </w:pPr>
            <w:r>
              <w:rPr>
                <w:rFonts w:ascii="Arial" w:hAnsi="Arial"/>
                <w:color w:val="000000"/>
                <w:sz w:val="20"/>
              </w:rPr>
              <w:t>Możliwość dynamicznego włączania I wyłączania portów USB na obudowie – bez potrzeby restartu serwera</w:t>
            </w:r>
          </w:p>
          <w:p>
            <w:pPr>
              <w:pStyle w:val="Normal"/>
              <w:widowControl w:val="false"/>
              <w:spacing w:lineRule="auto" w:line="240" w:before="0" w:after="0"/>
              <w:rPr>
                <w:sz w:val="20"/>
                <w:szCs w:val="20"/>
              </w:rPr>
            </w:pPr>
            <w:r>
              <w:rPr>
                <w:color w:val="000000"/>
                <w:sz w:val="20"/>
                <w:szCs w:val="20"/>
              </w:rPr>
              <w:t>Możliwość wymazania danych ze znajdujących się dysków wewnątrz serwera – niezależne od zainstalowanego systemu operacyjnego, uruchamiane z poziomu zarządzania serwerem</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sz w:val="20"/>
                <w:szCs w:val="20"/>
              </w:rPr>
              <w:t>Diagnostyka</w:t>
            </w:r>
          </w:p>
        </w:tc>
        <w:tc>
          <w:tcPr>
            <w:tcW w:w="6941" w:type="dxa"/>
            <w:tcBorders>
              <w:bottom w:val="single" w:sz="8" w:space="0" w:color="000000"/>
              <w:right w:val="single" w:sz="8" w:space="0" w:color="000000"/>
            </w:tcBorders>
          </w:tcPr>
          <w:p>
            <w:pPr>
              <w:pStyle w:val="Normal"/>
              <w:widowControl w:val="false"/>
              <w:spacing w:lineRule="auto" w:line="240" w:before="0" w:after="0"/>
              <w:textAlignment w:val="baseline"/>
              <w:rPr>
                <w:sz w:val="20"/>
                <w:szCs w:val="20"/>
              </w:rPr>
            </w:pPr>
            <w:r>
              <w:rPr>
                <w:bCs/>
                <w:sz w:val="20"/>
                <w:szCs w:val="20"/>
              </w:rPr>
              <w:t>Możliwość wyposażenia w panel LCD umieszczony na froncie obudowy, umożliwiający wyświetlenie informacji o stanie procesora, pamięci, dysków, BIOS’u, zasilaniu oraz temperaturze.</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Karta Zarządzania</w:t>
            </w:r>
          </w:p>
        </w:tc>
        <w:tc>
          <w:tcPr>
            <w:tcW w:w="6941" w:type="dxa"/>
            <w:tcBorders>
              <w:bottom w:val="single" w:sz="8" w:space="0" w:color="000000"/>
              <w:right w:val="single" w:sz="8" w:space="0" w:color="000000"/>
            </w:tcBorders>
          </w:tcPr>
          <w:p>
            <w:pPr>
              <w:pStyle w:val="Normal"/>
              <w:widowControl w:val="false"/>
              <w:rPr>
                <w:sz w:val="20"/>
                <w:szCs w:val="20"/>
              </w:rPr>
            </w:pPr>
            <w:r>
              <w:rPr>
                <w:sz w:val="20"/>
                <w:szCs w:val="20"/>
              </w:rPr>
              <w:t>Niezależna od zainstalowanego na serwerze systemu operacyjnego posiadająca dedykowany port Gigabit Ethernet RJ-45 i umożliwiająca:</w:t>
            </w:r>
          </w:p>
          <w:p>
            <w:pPr>
              <w:pStyle w:val="ListParagraph"/>
              <w:widowControl w:val="false"/>
              <w:numPr>
                <w:ilvl w:val="0"/>
                <w:numId w:val="5"/>
              </w:numPr>
              <w:rPr>
                <w:rFonts w:ascii="Arial" w:hAnsi="Arial"/>
                <w:sz w:val="20"/>
              </w:rPr>
            </w:pPr>
            <w:r>
              <w:rPr>
                <w:rFonts w:ascii="Arial" w:hAnsi="Arial"/>
                <w:sz w:val="20"/>
              </w:rPr>
              <w:t>zdalny dostęp do graficznego interfejsu Web karty zarządzającej;</w:t>
            </w:r>
          </w:p>
          <w:p>
            <w:pPr>
              <w:pStyle w:val="ListParagraph"/>
              <w:widowControl w:val="false"/>
              <w:numPr>
                <w:ilvl w:val="0"/>
                <w:numId w:val="5"/>
              </w:numPr>
              <w:rPr>
                <w:rFonts w:ascii="Arial" w:hAnsi="Arial"/>
                <w:sz w:val="20"/>
              </w:rPr>
            </w:pPr>
            <w:r>
              <w:rPr>
                <w:rFonts w:ascii="Arial" w:hAnsi="Arial"/>
                <w:sz w:val="20"/>
              </w:rPr>
              <w:t>zdalne monitorowanie i informowanie o statusie serwera (m.in. prędkości obrotowej wentylatorów, konfiguracji serwera);</w:t>
            </w:r>
          </w:p>
          <w:p>
            <w:pPr>
              <w:pStyle w:val="ListParagraph"/>
              <w:widowControl w:val="false"/>
              <w:numPr>
                <w:ilvl w:val="0"/>
                <w:numId w:val="5"/>
              </w:numPr>
              <w:rPr>
                <w:rFonts w:ascii="Arial" w:hAnsi="Arial"/>
                <w:sz w:val="20"/>
              </w:rPr>
            </w:pPr>
            <w:r>
              <w:rPr>
                <w:rFonts w:ascii="Arial" w:hAnsi="Arial"/>
                <w:sz w:val="20"/>
              </w:rPr>
              <w:t>szyfrowane połączenie (TLS) oraz autentykacje i autoryzację użytkownika;</w:t>
            </w:r>
          </w:p>
          <w:p>
            <w:pPr>
              <w:pStyle w:val="ListParagraph"/>
              <w:widowControl w:val="false"/>
              <w:numPr>
                <w:ilvl w:val="0"/>
                <w:numId w:val="5"/>
              </w:numPr>
              <w:rPr>
                <w:rFonts w:ascii="Arial" w:hAnsi="Arial"/>
                <w:sz w:val="20"/>
              </w:rPr>
            </w:pPr>
            <w:r>
              <w:rPr>
                <w:rFonts w:ascii="Arial" w:hAnsi="Arial"/>
                <w:sz w:val="20"/>
              </w:rPr>
              <w:t>wsparcie dla IPv6;</w:t>
            </w:r>
          </w:p>
          <w:p>
            <w:pPr>
              <w:pStyle w:val="ListParagraph"/>
              <w:widowControl w:val="false"/>
              <w:numPr>
                <w:ilvl w:val="0"/>
                <w:numId w:val="5"/>
              </w:numPr>
              <w:rPr>
                <w:rFonts w:ascii="Arial" w:hAnsi="Arial"/>
                <w:sz w:val="20"/>
              </w:rPr>
            </w:pPr>
            <w:r>
              <w:rPr>
                <w:rFonts w:ascii="Arial" w:hAnsi="Arial"/>
                <w:sz w:val="20"/>
              </w:rPr>
              <w:t>wsparcie dla WSMAN (Web Service for Management); SNMP; IPMI2.0, SSH, Redfish;</w:t>
            </w:r>
          </w:p>
          <w:p>
            <w:pPr>
              <w:pStyle w:val="ListParagraph"/>
              <w:widowControl w:val="false"/>
              <w:numPr>
                <w:ilvl w:val="0"/>
                <w:numId w:val="5"/>
              </w:numPr>
              <w:rPr>
                <w:rFonts w:ascii="Arial" w:hAnsi="Arial"/>
                <w:sz w:val="20"/>
              </w:rPr>
            </w:pPr>
            <w:r>
              <w:rPr>
                <w:rFonts w:ascii="Arial" w:hAnsi="Arial"/>
                <w:sz w:val="20"/>
              </w:rPr>
              <w:t>możliwość zdalnego monitorowania w czasie rzeczywistym poboru prądu przez serwer;</w:t>
            </w:r>
          </w:p>
          <w:p>
            <w:pPr>
              <w:pStyle w:val="ListParagraph"/>
              <w:widowControl w:val="false"/>
              <w:numPr>
                <w:ilvl w:val="0"/>
                <w:numId w:val="5"/>
              </w:numPr>
              <w:rPr>
                <w:rFonts w:ascii="Arial" w:hAnsi="Arial"/>
                <w:sz w:val="20"/>
              </w:rPr>
            </w:pPr>
            <w:r>
              <w:rPr>
                <w:rFonts w:ascii="Arial" w:hAnsi="Arial"/>
                <w:sz w:val="20"/>
              </w:rPr>
              <w:t>możliwość zdalnego ustawienia limitu poboru prądu przez konkretny serwer;</w:t>
            </w:r>
          </w:p>
          <w:p>
            <w:pPr>
              <w:pStyle w:val="ListParagraph"/>
              <w:widowControl w:val="false"/>
              <w:numPr>
                <w:ilvl w:val="0"/>
                <w:numId w:val="5"/>
              </w:numPr>
              <w:rPr>
                <w:rFonts w:ascii="Arial" w:hAnsi="Arial"/>
                <w:sz w:val="20"/>
              </w:rPr>
            </w:pPr>
            <w:r>
              <w:rPr>
                <w:rFonts w:ascii="Arial" w:hAnsi="Arial"/>
                <w:sz w:val="20"/>
              </w:rPr>
              <w:t>integracja z Active Directory;</w:t>
            </w:r>
          </w:p>
          <w:p>
            <w:pPr>
              <w:pStyle w:val="ListParagraph"/>
              <w:widowControl w:val="false"/>
              <w:numPr>
                <w:ilvl w:val="0"/>
                <w:numId w:val="5"/>
              </w:numPr>
              <w:rPr>
                <w:rFonts w:ascii="Arial" w:hAnsi="Arial"/>
                <w:sz w:val="20"/>
              </w:rPr>
            </w:pPr>
            <w:r>
              <w:rPr>
                <w:rFonts w:ascii="Arial" w:hAnsi="Arial"/>
                <w:sz w:val="20"/>
              </w:rPr>
              <w:t>możliwość obsługi przez dwóch administratorów jednocześnie;</w:t>
            </w:r>
          </w:p>
          <w:p>
            <w:pPr>
              <w:pStyle w:val="ListParagraph"/>
              <w:widowControl w:val="false"/>
              <w:numPr>
                <w:ilvl w:val="0"/>
                <w:numId w:val="5"/>
              </w:numPr>
              <w:rPr>
                <w:rFonts w:ascii="Arial" w:hAnsi="Arial"/>
                <w:sz w:val="20"/>
              </w:rPr>
            </w:pPr>
            <w:r>
              <w:rPr>
                <w:rFonts w:ascii="Arial" w:hAnsi="Arial"/>
                <w:sz w:val="20"/>
              </w:rPr>
              <w:t>wsparcie dla dynamic DNS;</w:t>
            </w:r>
          </w:p>
          <w:p>
            <w:pPr>
              <w:pStyle w:val="ListParagraph"/>
              <w:widowControl w:val="false"/>
              <w:numPr>
                <w:ilvl w:val="0"/>
                <w:numId w:val="5"/>
              </w:numPr>
              <w:rPr>
                <w:rFonts w:ascii="Arial" w:hAnsi="Arial"/>
                <w:sz w:val="20"/>
              </w:rPr>
            </w:pPr>
            <w:r>
              <w:rPr>
                <w:rFonts w:ascii="Arial" w:hAnsi="Arial"/>
                <w:sz w:val="20"/>
              </w:rPr>
              <w:t>możliwość bezpośredniego zarządzania poprzez dedykowany port USB na przednim panelu serwera</w:t>
            </w:r>
          </w:p>
          <w:p>
            <w:pPr>
              <w:pStyle w:val="Normal"/>
              <w:widowControl w:val="false"/>
              <w:spacing w:before="0" w:after="160"/>
              <w:ind w:left="360" w:hanging="0"/>
              <w:rPr>
                <w:sz w:val="20"/>
                <w:szCs w:val="20"/>
              </w:rPr>
            </w:pPr>
            <w:r>
              <w:rPr>
                <w:sz w:val="20"/>
                <w:szCs w:val="20"/>
              </w:rPr>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b/>
                <w:bCs/>
                <w:sz w:val="20"/>
                <w:szCs w:val="20"/>
              </w:rPr>
              <w:t>Oprogramowanie do zarządzania</w:t>
            </w:r>
          </w:p>
        </w:tc>
        <w:tc>
          <w:tcPr>
            <w:tcW w:w="6941" w:type="dxa"/>
            <w:tcBorders>
              <w:bottom w:val="single" w:sz="8" w:space="0" w:color="000000"/>
              <w:right w:val="single" w:sz="8" w:space="0" w:color="000000"/>
            </w:tcBorders>
            <w:vAlign w:val="center"/>
          </w:tcPr>
          <w:p>
            <w:pPr>
              <w:pStyle w:val="ListParagraph"/>
              <w:widowControl w:val="false"/>
              <w:numPr>
                <w:ilvl w:val="0"/>
                <w:numId w:val="5"/>
              </w:numPr>
              <w:rPr>
                <w:rFonts w:ascii="Arial" w:hAnsi="Arial"/>
                <w:sz w:val="20"/>
              </w:rPr>
            </w:pPr>
            <w:r>
              <w:rPr>
                <w:rFonts w:ascii="Arial" w:hAnsi="Arial"/>
                <w:sz w:val="20"/>
              </w:rPr>
              <w:t>Wsparcie dla serwerów, urządzeń sieciowych oraz pamięci masowych </w:t>
            </w:r>
          </w:p>
          <w:p>
            <w:pPr>
              <w:pStyle w:val="ListParagraph"/>
              <w:widowControl w:val="false"/>
              <w:numPr>
                <w:ilvl w:val="0"/>
                <w:numId w:val="5"/>
              </w:numPr>
              <w:rPr>
                <w:rFonts w:ascii="Arial" w:hAnsi="Arial"/>
                <w:sz w:val="20"/>
              </w:rPr>
            </w:pPr>
            <w:r>
              <w:rPr>
                <w:rFonts w:ascii="Arial" w:hAnsi="Arial"/>
                <w:sz w:val="20"/>
              </w:rPr>
              <w:t>integracja z Active Directory </w:t>
            </w:r>
          </w:p>
          <w:p>
            <w:pPr>
              <w:pStyle w:val="ListParagraph"/>
              <w:widowControl w:val="false"/>
              <w:numPr>
                <w:ilvl w:val="0"/>
                <w:numId w:val="5"/>
              </w:numPr>
              <w:rPr>
                <w:rFonts w:ascii="Arial" w:hAnsi="Arial"/>
                <w:sz w:val="20"/>
              </w:rPr>
            </w:pPr>
            <w:r>
              <w:rPr>
                <w:rFonts w:ascii="Arial" w:hAnsi="Arial"/>
                <w:sz w:val="20"/>
              </w:rPr>
              <w:t>Możliwość zarządzania dostarczonymi serwerami bez udziału dedykowanego agenta </w:t>
            </w:r>
          </w:p>
          <w:p>
            <w:pPr>
              <w:pStyle w:val="ListParagraph"/>
              <w:widowControl w:val="false"/>
              <w:numPr>
                <w:ilvl w:val="0"/>
                <w:numId w:val="5"/>
              </w:numPr>
              <w:rPr>
                <w:rFonts w:ascii="Arial" w:hAnsi="Arial"/>
                <w:sz w:val="20"/>
              </w:rPr>
            </w:pPr>
            <w:r>
              <w:rPr>
                <w:rFonts w:ascii="Arial" w:hAnsi="Arial"/>
                <w:sz w:val="20"/>
              </w:rPr>
              <w:t>Wsparcie dla protokołów SNMP, IPMI, Linux SSH, Redfish </w:t>
            </w:r>
          </w:p>
          <w:p>
            <w:pPr>
              <w:pStyle w:val="ListParagraph"/>
              <w:widowControl w:val="false"/>
              <w:numPr>
                <w:ilvl w:val="0"/>
                <w:numId w:val="5"/>
              </w:numPr>
              <w:rPr>
                <w:rFonts w:ascii="Arial" w:hAnsi="Arial"/>
                <w:sz w:val="20"/>
              </w:rPr>
            </w:pPr>
            <w:r>
              <w:rPr>
                <w:rFonts w:ascii="Arial" w:hAnsi="Arial"/>
                <w:sz w:val="20"/>
              </w:rPr>
              <w:t>Możliwość uruchamiania procesu wykrywania urządzeń w oparciu o harmonogram </w:t>
            </w:r>
          </w:p>
          <w:p>
            <w:pPr>
              <w:pStyle w:val="ListParagraph"/>
              <w:widowControl w:val="false"/>
              <w:numPr>
                <w:ilvl w:val="0"/>
                <w:numId w:val="5"/>
              </w:numPr>
              <w:rPr>
                <w:rFonts w:ascii="Arial" w:hAnsi="Arial"/>
                <w:sz w:val="20"/>
              </w:rPr>
            </w:pPr>
            <w:r>
              <w:rPr>
                <w:rFonts w:ascii="Arial" w:hAnsi="Arial"/>
                <w:sz w:val="20"/>
              </w:rPr>
              <w:t>Szczegółowy opis wykrytych systemów oraz ich komponentów </w:t>
            </w:r>
          </w:p>
          <w:p>
            <w:pPr>
              <w:pStyle w:val="ListParagraph"/>
              <w:widowControl w:val="false"/>
              <w:numPr>
                <w:ilvl w:val="0"/>
                <w:numId w:val="5"/>
              </w:numPr>
              <w:rPr>
                <w:rFonts w:ascii="Arial" w:hAnsi="Arial"/>
                <w:sz w:val="20"/>
              </w:rPr>
            </w:pPr>
            <w:r>
              <w:rPr>
                <w:rFonts w:ascii="Arial" w:hAnsi="Arial"/>
                <w:sz w:val="20"/>
              </w:rPr>
              <w:t>Możliwość eksportu raportu do CSV, HTML, XLS, PDF </w:t>
            </w:r>
          </w:p>
          <w:p>
            <w:pPr>
              <w:pStyle w:val="ListParagraph"/>
              <w:widowControl w:val="false"/>
              <w:numPr>
                <w:ilvl w:val="0"/>
                <w:numId w:val="5"/>
              </w:numPr>
              <w:rPr>
                <w:rFonts w:ascii="Arial" w:hAnsi="Arial"/>
                <w:sz w:val="20"/>
              </w:rPr>
            </w:pPr>
            <w:r>
              <w:rPr>
                <w:rFonts w:ascii="Arial" w:hAnsi="Arial"/>
                <w:sz w:val="20"/>
              </w:rPr>
              <w:t>Możliwość tworzenia własnych raportów w opraciu o wszystkie informacje zawarte w inwentarzu. </w:t>
            </w:r>
          </w:p>
          <w:p>
            <w:pPr>
              <w:pStyle w:val="ListParagraph"/>
              <w:widowControl w:val="false"/>
              <w:numPr>
                <w:ilvl w:val="0"/>
                <w:numId w:val="5"/>
              </w:numPr>
              <w:rPr>
                <w:rFonts w:ascii="Arial" w:hAnsi="Arial"/>
                <w:sz w:val="20"/>
              </w:rPr>
            </w:pPr>
            <w:r>
              <w:rPr>
                <w:rFonts w:ascii="Arial" w:hAnsi="Arial"/>
                <w:sz w:val="20"/>
              </w:rPr>
              <w:t>Grupowanie urządzeń w oparciu o kryteria użytkownika </w:t>
            </w:r>
          </w:p>
          <w:p>
            <w:pPr>
              <w:pStyle w:val="ListParagraph"/>
              <w:widowControl w:val="false"/>
              <w:numPr>
                <w:ilvl w:val="0"/>
                <w:numId w:val="5"/>
              </w:numPr>
              <w:rPr>
                <w:rFonts w:ascii="Arial" w:hAnsi="Arial"/>
                <w:sz w:val="20"/>
              </w:rPr>
            </w:pPr>
            <w:r>
              <w:rPr>
                <w:rFonts w:ascii="Arial" w:hAnsi="Arial"/>
                <w:sz w:val="20"/>
              </w:rPr>
              <w:t>Tworzenie automatycznie grup urządzeń w opraciu o dowolny element konfiguracji serwera np. Nazwa, lokalizacja, system operacyjny, obsadzenie slotów PCIe, pozostałego czasu gwarancji </w:t>
            </w:r>
          </w:p>
          <w:p>
            <w:pPr>
              <w:pStyle w:val="ListParagraph"/>
              <w:widowControl w:val="false"/>
              <w:numPr>
                <w:ilvl w:val="0"/>
                <w:numId w:val="5"/>
              </w:numPr>
              <w:rPr>
                <w:rFonts w:ascii="Arial" w:hAnsi="Arial"/>
                <w:sz w:val="20"/>
              </w:rPr>
            </w:pPr>
            <w:r>
              <w:rPr>
                <w:rFonts w:ascii="Arial" w:hAnsi="Arial"/>
                <w:sz w:val="20"/>
              </w:rPr>
              <w:t>Możliwość uruchamiania narzędzi zarządzających w poszczególnych urządzeniach </w:t>
            </w:r>
          </w:p>
          <w:p>
            <w:pPr>
              <w:pStyle w:val="ListParagraph"/>
              <w:widowControl w:val="false"/>
              <w:numPr>
                <w:ilvl w:val="0"/>
                <w:numId w:val="5"/>
              </w:numPr>
              <w:rPr>
                <w:rFonts w:ascii="Arial" w:hAnsi="Arial"/>
                <w:sz w:val="20"/>
              </w:rPr>
            </w:pPr>
            <w:r>
              <w:rPr>
                <w:rFonts w:ascii="Arial" w:hAnsi="Arial"/>
                <w:sz w:val="20"/>
              </w:rPr>
              <w:t>Szybki podgląd stanu środowiska </w:t>
            </w:r>
          </w:p>
          <w:p>
            <w:pPr>
              <w:pStyle w:val="ListParagraph"/>
              <w:widowControl w:val="false"/>
              <w:numPr>
                <w:ilvl w:val="0"/>
                <w:numId w:val="5"/>
              </w:numPr>
              <w:rPr>
                <w:rFonts w:ascii="Arial" w:hAnsi="Arial"/>
                <w:sz w:val="20"/>
              </w:rPr>
            </w:pPr>
            <w:r>
              <w:rPr>
                <w:rFonts w:ascii="Arial" w:hAnsi="Arial"/>
                <w:sz w:val="20"/>
              </w:rPr>
              <w:t>Podsumowanie stanu dla każdego urządzenia </w:t>
            </w:r>
          </w:p>
          <w:p>
            <w:pPr>
              <w:pStyle w:val="ListParagraph"/>
              <w:widowControl w:val="false"/>
              <w:numPr>
                <w:ilvl w:val="0"/>
                <w:numId w:val="5"/>
              </w:numPr>
              <w:rPr>
                <w:rFonts w:ascii="Arial" w:hAnsi="Arial"/>
                <w:sz w:val="20"/>
              </w:rPr>
            </w:pPr>
            <w:r>
              <w:rPr>
                <w:rFonts w:ascii="Arial" w:hAnsi="Arial"/>
                <w:sz w:val="20"/>
              </w:rPr>
              <w:t>Szczegółowy status urządzenia/elementu/komponentu </w:t>
            </w:r>
          </w:p>
          <w:p>
            <w:pPr>
              <w:pStyle w:val="ListParagraph"/>
              <w:widowControl w:val="false"/>
              <w:numPr>
                <w:ilvl w:val="0"/>
                <w:numId w:val="5"/>
              </w:numPr>
              <w:rPr>
                <w:rFonts w:ascii="Arial" w:hAnsi="Arial"/>
                <w:sz w:val="20"/>
              </w:rPr>
            </w:pPr>
            <w:r>
              <w:rPr>
                <w:rFonts w:ascii="Arial" w:hAnsi="Arial"/>
                <w:sz w:val="20"/>
              </w:rPr>
              <w:t>Generowanie alertów przy zmianie stanu urządzenia. </w:t>
            </w:r>
          </w:p>
          <w:p>
            <w:pPr>
              <w:pStyle w:val="ListParagraph"/>
              <w:widowControl w:val="false"/>
              <w:numPr>
                <w:ilvl w:val="0"/>
                <w:numId w:val="5"/>
              </w:numPr>
              <w:rPr>
                <w:rFonts w:ascii="Arial" w:hAnsi="Arial"/>
                <w:sz w:val="20"/>
              </w:rPr>
            </w:pPr>
            <w:r>
              <w:rPr>
                <w:rFonts w:ascii="Arial" w:hAnsi="Arial"/>
                <w:sz w:val="20"/>
              </w:rPr>
              <w:t>Filtry raportów umożliwiające podgląd najważniejszych zdarzeń </w:t>
            </w:r>
          </w:p>
          <w:p>
            <w:pPr>
              <w:pStyle w:val="ListParagraph"/>
              <w:widowControl w:val="false"/>
              <w:numPr>
                <w:ilvl w:val="0"/>
                <w:numId w:val="5"/>
              </w:numPr>
              <w:rPr>
                <w:rFonts w:ascii="Arial" w:hAnsi="Arial"/>
                <w:sz w:val="20"/>
              </w:rPr>
            </w:pPr>
            <w:r>
              <w:rPr>
                <w:rFonts w:ascii="Arial" w:hAnsi="Arial"/>
                <w:sz w:val="20"/>
              </w:rPr>
              <w:t xml:space="preserve">Integracja z service desk producenta dostarczonej platformy sprzętowej </w:t>
            </w:r>
          </w:p>
          <w:p>
            <w:pPr>
              <w:pStyle w:val="ListParagraph"/>
              <w:widowControl w:val="false"/>
              <w:numPr>
                <w:ilvl w:val="0"/>
                <w:numId w:val="5"/>
              </w:numPr>
              <w:rPr>
                <w:rFonts w:ascii="Arial" w:hAnsi="Arial"/>
                <w:sz w:val="20"/>
              </w:rPr>
            </w:pPr>
            <w:r>
              <w:rPr>
                <w:rFonts w:ascii="Arial" w:hAnsi="Arial"/>
                <w:sz w:val="20"/>
              </w:rPr>
              <w:t xml:space="preserve">Możliwość importu plików MIB </w:t>
            </w:r>
          </w:p>
          <w:p>
            <w:pPr>
              <w:pStyle w:val="ListParagraph"/>
              <w:widowControl w:val="false"/>
              <w:numPr>
                <w:ilvl w:val="0"/>
                <w:numId w:val="5"/>
              </w:numPr>
              <w:rPr>
                <w:rFonts w:ascii="Arial" w:hAnsi="Arial"/>
                <w:sz w:val="20"/>
              </w:rPr>
            </w:pPr>
            <w:r>
              <w:rPr>
                <w:rFonts w:ascii="Arial" w:hAnsi="Arial"/>
                <w:sz w:val="20"/>
              </w:rPr>
              <w:t>Możliwość definiowania ról administratorów </w:t>
            </w:r>
          </w:p>
          <w:p>
            <w:pPr>
              <w:pStyle w:val="ListParagraph"/>
              <w:widowControl w:val="false"/>
              <w:numPr>
                <w:ilvl w:val="0"/>
                <w:numId w:val="5"/>
              </w:numPr>
              <w:rPr>
                <w:rFonts w:ascii="Arial" w:hAnsi="Arial"/>
                <w:sz w:val="20"/>
              </w:rPr>
            </w:pPr>
            <w:r>
              <w:rPr>
                <w:rFonts w:ascii="Arial" w:hAnsi="Arial"/>
                <w:sz w:val="20"/>
              </w:rPr>
              <w:t>Możliwość zdalnej aktualizacji oprogramowania wewnętrznego serwerów </w:t>
            </w:r>
          </w:p>
          <w:p>
            <w:pPr>
              <w:pStyle w:val="ListParagraph"/>
              <w:widowControl w:val="false"/>
              <w:numPr>
                <w:ilvl w:val="0"/>
                <w:numId w:val="5"/>
              </w:numPr>
              <w:rPr>
                <w:rFonts w:ascii="Arial" w:hAnsi="Arial"/>
                <w:sz w:val="20"/>
              </w:rPr>
            </w:pPr>
            <w:r>
              <w:rPr>
                <w:rFonts w:ascii="Arial" w:hAnsi="Arial"/>
                <w:sz w:val="20"/>
              </w:rPr>
              <w:t>Aktualizacja oparta o wybranie źródła bibliotek (lokalna, on-line producenta oferowanego rozwiązania) </w:t>
            </w:r>
          </w:p>
          <w:p>
            <w:pPr>
              <w:pStyle w:val="ListParagraph"/>
              <w:widowControl w:val="false"/>
              <w:numPr>
                <w:ilvl w:val="0"/>
                <w:numId w:val="5"/>
              </w:numPr>
              <w:rPr>
                <w:rFonts w:ascii="Arial" w:hAnsi="Arial"/>
                <w:sz w:val="20"/>
              </w:rPr>
            </w:pPr>
            <w:r>
              <w:rPr>
                <w:rFonts w:ascii="Arial" w:hAnsi="Arial"/>
                <w:sz w:val="20"/>
              </w:rPr>
              <w:t>Możliwość instalacji oprogramowania wewnętrznego bez potrzeby instalacji agenta </w:t>
            </w:r>
          </w:p>
          <w:p>
            <w:pPr>
              <w:pStyle w:val="ListParagraph"/>
              <w:widowControl w:val="false"/>
              <w:numPr>
                <w:ilvl w:val="0"/>
                <w:numId w:val="5"/>
              </w:numPr>
              <w:rPr>
                <w:rFonts w:ascii="Arial" w:hAnsi="Arial"/>
                <w:sz w:val="20"/>
              </w:rPr>
            </w:pPr>
            <w:r>
              <w:rPr>
                <w:rFonts w:ascii="Arial" w:hAnsi="Arial"/>
                <w:sz w:val="20"/>
              </w:rPr>
              <w:t>Możliwość automatycznego generowania i zgłaszania incydentów awarii bezpośrednio do centrum serwisowego producenta serwerów </w:t>
            </w:r>
          </w:p>
          <w:p>
            <w:pPr>
              <w:pStyle w:val="ListParagraph"/>
              <w:widowControl w:val="false"/>
              <w:numPr>
                <w:ilvl w:val="0"/>
                <w:numId w:val="5"/>
              </w:numPr>
              <w:rPr>
                <w:rFonts w:ascii="Arial" w:hAnsi="Arial"/>
                <w:sz w:val="20"/>
              </w:rPr>
            </w:pPr>
            <w:r>
              <w:rPr>
                <w:rFonts w:ascii="Arial" w:hAnsi="Arial"/>
                <w:sz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aletrów, MAC adresów kart sieciowych, stanie poszczególnych komponentów serwera. </w:t>
            </w:r>
          </w:p>
          <w:p>
            <w:pPr>
              <w:pStyle w:val="ListParagraph"/>
              <w:widowControl w:val="false"/>
              <w:numPr>
                <w:ilvl w:val="0"/>
                <w:numId w:val="5"/>
              </w:numPr>
              <w:rPr>
                <w:rFonts w:ascii="Arial" w:hAnsi="Arial"/>
                <w:sz w:val="20"/>
              </w:rPr>
            </w:pPr>
            <w:r>
              <w:rPr>
                <w:rFonts w:ascii="Arial" w:hAnsi="Arial"/>
                <w:sz w:val="20"/>
              </w:rPr>
              <w:t>Możliwość tworzenia sprzętowej konfiguracji bazowej i na jej podstwie weryfikacji środowiska w celu wykrycia rozbieżności. </w:t>
            </w:r>
          </w:p>
          <w:p>
            <w:pPr>
              <w:pStyle w:val="ListParagraph"/>
              <w:widowControl w:val="false"/>
              <w:numPr>
                <w:ilvl w:val="0"/>
                <w:numId w:val="5"/>
              </w:numPr>
              <w:rPr>
                <w:rFonts w:ascii="Arial" w:hAnsi="Arial"/>
                <w:sz w:val="20"/>
              </w:rPr>
            </w:pPr>
            <w:r>
              <w:rPr>
                <w:rFonts w:ascii="Arial" w:hAnsi="Arial"/>
                <w:sz w:val="20"/>
              </w:rPr>
              <w:t>Wdrażanie serwerów, rozwiązań modularnych oraz przełączników sieciowych w opraciu o profile </w:t>
            </w:r>
          </w:p>
          <w:p>
            <w:pPr>
              <w:pStyle w:val="ListParagraph"/>
              <w:widowControl w:val="false"/>
              <w:numPr>
                <w:ilvl w:val="0"/>
                <w:numId w:val="5"/>
              </w:numPr>
              <w:rPr>
                <w:rFonts w:ascii="Arial" w:hAnsi="Arial"/>
                <w:sz w:val="20"/>
              </w:rPr>
            </w:pPr>
            <w:r>
              <w:rPr>
                <w:rFonts w:ascii="Arial" w:hAnsi="Arial"/>
                <w:sz w:val="20"/>
              </w:rPr>
              <w:t xml:space="preserve">Możliwość migracji ustawień serwera wraz z wirtualnymi adresami sieciowymi (MAC, WWN, IQN) między urządzeniami. </w:t>
            </w:r>
          </w:p>
          <w:p>
            <w:pPr>
              <w:pStyle w:val="ListParagraph"/>
              <w:widowControl w:val="false"/>
              <w:numPr>
                <w:ilvl w:val="0"/>
                <w:numId w:val="5"/>
              </w:numPr>
              <w:rPr>
                <w:rFonts w:ascii="Arial" w:hAnsi="Arial"/>
                <w:sz w:val="20"/>
              </w:rPr>
            </w:pPr>
            <w:r>
              <w:rPr>
                <w:rFonts w:ascii="Arial" w:hAnsi="Arial"/>
                <w:sz w:val="20"/>
              </w:rPr>
              <w:t xml:space="preserve">Tworzenie gotowych paczek informacji umożliwiających zdiagnozowanie awarii urządzenia przez serwis producenta. </w:t>
            </w:r>
          </w:p>
          <w:p>
            <w:pPr>
              <w:pStyle w:val="ListParagraph"/>
              <w:widowControl w:val="false"/>
              <w:numPr>
                <w:ilvl w:val="0"/>
                <w:numId w:val="5"/>
              </w:numPr>
              <w:rPr>
                <w:rFonts w:ascii="Arial" w:hAnsi="Arial"/>
                <w:sz w:val="20"/>
              </w:rPr>
            </w:pPr>
            <w:r>
              <w:rPr>
                <w:rFonts w:ascii="Arial" w:hAnsi="Arial"/>
                <w:sz w:val="20"/>
              </w:rPr>
              <w:t>Zdalne uruchamianie diagnostyki serwera. </w:t>
            </w:r>
          </w:p>
          <w:p>
            <w:pPr>
              <w:pStyle w:val="ListParagraph"/>
              <w:widowControl w:val="false"/>
              <w:numPr>
                <w:ilvl w:val="0"/>
                <w:numId w:val="5"/>
              </w:numPr>
              <w:rPr>
                <w:rFonts w:ascii="Arial" w:hAnsi="Arial"/>
                <w:sz w:val="20"/>
              </w:rPr>
            </w:pPr>
            <w:r>
              <w:rPr>
                <w:rFonts w:ascii="Arial" w:hAnsi="Arial"/>
                <w:sz w:val="20"/>
              </w:rPr>
              <w:t xml:space="preserve">Dedykowana aplikacja na urządzenia mobilne integrująca się z wyżej opisanymi oprogramowaniem zarzadzającym. </w:t>
            </w:r>
          </w:p>
          <w:p>
            <w:pPr>
              <w:pStyle w:val="Normal"/>
              <w:widowControl w:val="false"/>
              <w:spacing w:before="0" w:after="160"/>
              <w:rPr>
                <w:sz w:val="20"/>
                <w:szCs w:val="20"/>
              </w:rPr>
            </w:pPr>
            <w:r>
              <w:rPr>
                <w:sz w:val="20"/>
                <w:szCs w:val="20"/>
              </w:rPr>
              <w:t>Oprogramowanie dostarczane jako wirtualny appliance dla KVM, ESXi i Hyper-V. </w:t>
            </w:r>
          </w:p>
        </w:tc>
      </w:tr>
      <w:tr>
        <w:trPr>
          <w:trHeight w:val="230" w:hRule="atLeast"/>
        </w:trPr>
        <w:tc>
          <w:tcPr>
            <w:tcW w:w="30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Gwarancja</w:t>
            </w:r>
          </w:p>
        </w:tc>
        <w:tc>
          <w:tcPr>
            <w:tcW w:w="6941" w:type="dxa"/>
            <w:tcBorders>
              <w:bottom w:val="single" w:sz="8" w:space="0" w:color="000000"/>
              <w:right w:val="single" w:sz="8" w:space="0" w:color="000000"/>
            </w:tcBorders>
            <w:vAlign w:val="bottom"/>
          </w:tcPr>
          <w:p>
            <w:pPr>
              <w:pStyle w:val="Normal"/>
              <w:widowControl w:val="false"/>
              <w:rPr>
                <w:sz w:val="20"/>
                <w:szCs w:val="20"/>
              </w:rPr>
            </w:pPr>
            <w:r>
              <w:rPr>
                <w:rFonts w:eastAsia="Times New Roman" w:cs="Calibri"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pPr>
              <w:pStyle w:val="Normal"/>
              <w:widowControl w:val="false"/>
              <w:rPr>
                <w:sz w:val="20"/>
                <w:szCs w:val="20"/>
              </w:rPr>
            </w:pPr>
            <w:r>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pPr>
              <w:pStyle w:val="Normal"/>
              <w:widowControl w:val="false"/>
              <w:rPr>
                <w:sz w:val="20"/>
                <w:szCs w:val="20"/>
              </w:rPr>
            </w:pPr>
            <w:r>
              <w:rPr>
                <w:sz w:val="20"/>
                <w:szCs w:val="20"/>
              </w:rPr>
              <w:t>Firma serwisująca musi posiadać ISO 9001:2008 na świadczenie usług serwisowych oraz posiadać autoryzacje producenta urządzeń – dokumenty potwierdzające należy załączyć do oferty.</w:t>
            </w:r>
          </w:p>
          <w:p>
            <w:pPr>
              <w:pStyle w:val="Normal"/>
              <w:widowControl w:val="false"/>
              <w:rPr>
                <w:sz w:val="20"/>
                <w:szCs w:val="20"/>
              </w:rPr>
            </w:pPr>
            <w:r>
              <w:rPr>
                <w:sz w:val="20"/>
                <w:szCs w:val="20"/>
              </w:rPr>
              <w:t>Wymagane dołączenie do oferty oświadczenia Producenta potwierdzając, że Serwis urządzeń będzie realizowany bezpośrednio przez Producenta i/lub we współpracy z Autoryzowanym Partnerem Serwisowym Producenta.</w:t>
            </w:r>
          </w:p>
          <w:p>
            <w:pPr>
              <w:pStyle w:val="Normal"/>
              <w:widowControl w:val="false"/>
              <w:spacing w:lineRule="auto" w:line="240" w:before="0" w:after="0"/>
              <w:rPr>
                <w:sz w:val="20"/>
                <w:szCs w:val="20"/>
              </w:rPr>
            </w:pPr>
            <w:r>
              <w:rPr>
                <w:rFonts w:eastAsia="Times New Roman" w:cs="Calibri" w:cstheme="minorHAnsi"/>
                <w:color w:val="000000"/>
                <w:sz w:val="20"/>
                <w:szCs w:val="20"/>
              </w:rPr>
              <w:t>Możliwość rozszerzenia gwarancji przez producenta do 7 lat.</w:t>
            </w:r>
          </w:p>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r>
          </w:p>
          <w:p>
            <w:pPr>
              <w:pStyle w:val="Normal"/>
              <w:widowControl w:val="false"/>
              <w:spacing w:lineRule="auto" w:line="240" w:before="0" w:after="0"/>
              <w:rPr>
                <w:sz w:val="20"/>
                <w:szCs w:val="20"/>
              </w:rPr>
            </w:pPr>
            <w:r>
              <w:rPr>
                <w:rFonts w:eastAsia="Times New Roman" w:cs="Calibri"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r>
          </w:p>
          <w:p>
            <w:pPr>
              <w:pStyle w:val="Normal"/>
              <w:widowControl w:val="false"/>
              <w:spacing w:lineRule="auto" w:line="240" w:before="0" w:after="0"/>
              <w:rPr>
                <w:sz w:val="20"/>
                <w:szCs w:val="20"/>
              </w:rPr>
            </w:pPr>
            <w:r>
              <w:rPr>
                <w:rFonts w:eastAsia="Times New Roman" w:cs="Calibri" w:cstheme="minorHAnsi"/>
                <w:color w:val="000000"/>
                <w:sz w:val="20"/>
                <w:szCs w:val="20"/>
              </w:rPr>
              <w:t>W przypadku uszkodzenia dysku twardego, dysk pozostaje u Zamawiającego</w:t>
            </w:r>
          </w:p>
        </w:tc>
      </w:tr>
      <w:tr>
        <w:trPr>
          <w:trHeight w:val="230" w:hRule="atLeast"/>
        </w:trPr>
        <w:tc>
          <w:tcPr>
            <w:tcW w:w="3037" w:type="dxa"/>
            <w:tcBorders>
              <w:left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Certyfikaty</w:t>
            </w:r>
          </w:p>
        </w:tc>
        <w:tc>
          <w:tcPr>
            <w:tcW w:w="6941" w:type="dxa"/>
            <w:tcBorders>
              <w:bottom w:val="single" w:sz="4" w:space="0" w:color="000000"/>
              <w:right w:val="single" w:sz="8" w:space="0" w:color="000000"/>
            </w:tcBorders>
            <w:vAlign w:val="bottom"/>
          </w:tcPr>
          <w:p>
            <w:pPr>
              <w:pStyle w:val="Normal"/>
              <w:widowControl w:val="false"/>
              <w:spacing w:lineRule="auto" w:line="240" w:before="0" w:after="0"/>
              <w:rPr>
                <w:sz w:val="20"/>
                <w:szCs w:val="20"/>
              </w:rPr>
            </w:pPr>
            <w:r>
              <w:rPr>
                <w:rFonts w:eastAsia="Times New Roman" w:cs="Calibri" w:cstheme="minorHAnsi"/>
                <w:color w:val="000000"/>
                <w:sz w:val="20"/>
                <w:szCs w:val="20"/>
              </w:rPr>
              <w:t xml:space="preserve">Serwer musi być wyprodukowany zgodnie z normą ISO-9001 oraz ISO-14001. </w:t>
              <w:br/>
              <w:t>Serwer musi posiadać deklaracja CE.</w:t>
              <w:br/>
              <w:t xml:space="preserve">Oferowany serwer musi znajdować się na liście Windows Server Catalog i posiadać status „Certified for Windows” </w:t>
            </w:r>
            <w:r>
              <w:rPr>
                <w:color w:val="000000"/>
                <w:sz w:val="20"/>
                <w:szCs w:val="20"/>
              </w:rPr>
              <w:t>dla systemów Microsoft, Windows Server 2019, Windows Server 2022.</w:t>
            </w:r>
          </w:p>
        </w:tc>
      </w:tr>
      <w:tr>
        <w:trPr>
          <w:trHeight w:val="230" w:hRule="atLeast"/>
        </w:trPr>
        <w:tc>
          <w:tcPr>
            <w:tcW w:w="3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0"/>
                <w:szCs w:val="20"/>
              </w:rPr>
            </w:pPr>
            <w:r>
              <w:rPr>
                <w:rFonts w:eastAsia="Times New Roman"/>
                <w:b/>
                <w:bCs/>
                <w:color w:val="000000"/>
                <w:sz w:val="20"/>
                <w:szCs w:val="20"/>
              </w:rPr>
              <w:t>Dokumentacja</w:t>
            </w:r>
          </w:p>
        </w:tc>
        <w:tc>
          <w:tcPr>
            <w:tcW w:w="694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sz w:val="20"/>
                <w:szCs w:val="20"/>
              </w:rPr>
            </w:pPr>
            <w:r>
              <w:rPr>
                <w:rFonts w:eastAsia="Times New Roman" w:cs="Calibri" w:cstheme="minorHAnsi"/>
                <w:color w:val="000000"/>
                <w:sz w:val="20"/>
                <w:szCs w:val="20"/>
              </w:rPr>
              <w:t>Zamawiający wymaga dokumentacji w języku polskim lub angielskim.</w:t>
              <w:br/>
              <w:t>Możliwość telefonicznego sprawdzenia konfiguracji sprzętowej serwera oraz warunków gwarancji po podaniu numeru seryjnego bezpośrednio u producenta lub jego przedstawiciela.</w:t>
            </w:r>
          </w:p>
        </w:tc>
      </w:tr>
    </w:tbl>
    <w:p>
      <w:pPr>
        <w:pStyle w:val="Normal"/>
        <w:ind w:left="1077" w:hanging="0"/>
        <w:rPr/>
      </w:pPr>
      <w:r>
        <w:rPr/>
      </w:r>
    </w:p>
    <w:p>
      <w:pPr>
        <w:pStyle w:val="NoSpacing"/>
        <w:spacing w:lineRule="auto" w:line="360"/>
        <w:ind w:left="720" w:hanging="0"/>
        <w:rPr/>
      </w:pPr>
      <w:r>
        <w:rPr/>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4) Pakiet nr 4 – system telefoniczny</w:t>
      </w:r>
    </w:p>
    <w:p>
      <w:pPr>
        <w:pStyle w:val="NoSpacing"/>
        <w:spacing w:lineRule="auto" w:line="360"/>
        <w:ind w:left="720" w:hanging="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Pakiet obejmuje dostarczenie systemu telefonicznego w celu modernizacji (wymiany) obecnego. Zmodernizowany system będzie umożliwiał integrację z oprogramowaniem gabinetowym i spełniał wymagania przedstawione w „Modelu referencyjnym”.</w:t>
      </w:r>
    </w:p>
    <w:p>
      <w:pPr>
        <w:pStyle w:val="NoSpacing"/>
        <w:spacing w:lineRule="auto" w:line="360"/>
        <w:ind w:left="720" w:hanging="0"/>
        <w:rPr/>
      </w:pPr>
      <w:r>
        <w:rPr/>
      </w:r>
    </w:p>
    <w:p>
      <w:pPr>
        <w:pStyle w:val="NoSpacing"/>
        <w:spacing w:lineRule="auto" w:line="360"/>
        <w:ind w:left="720" w:hanging="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Pakiet nr 4 – system telefoniczny</w:t>
      </w:r>
    </w:p>
    <w:p>
      <w:pPr>
        <w:pStyle w:val="NoSpacing"/>
        <w:numPr>
          <w:ilvl w:val="0"/>
          <w:numId w:val="2"/>
        </w:numPr>
        <w:spacing w:lineRule="auto" w:line="360"/>
        <w:ind w:left="714" w:hanging="357"/>
        <w:rPr/>
      </w:pPr>
      <w:r>
        <w:rPr>
          <w:rFonts w:cs="Times New Roman" w:ascii="Times New Roman" w:hAnsi="Times New Roman"/>
          <w:sz w:val="24"/>
          <w:szCs w:val="24"/>
        </w:rPr>
        <w:t xml:space="preserve">Centrala telefoniczna VoIP (wymagania: możliwość integracji z oprogramowaniem </w:t>
      </w:r>
      <w:r>
        <w:rPr>
          <w:rFonts w:cs="Times New Roman" w:ascii="Times New Roman" w:hAnsi="Times New Roman"/>
          <w:sz w:val="24"/>
          <w:szCs w:val="24"/>
        </w:rPr>
        <w:t>z pakietu nr 2)</w:t>
      </w:r>
      <w:r>
        <w:rPr>
          <w:rFonts w:cs="Times New Roman" w:ascii="Times New Roman" w:hAnsi="Times New Roman"/>
          <w:sz w:val="24"/>
          <w:szCs w:val="24"/>
        </w:rPr>
        <w:t>, liczba jednoczesnych połączeń min. 150, 3x porty Gigabit Ethernet, usługa IVR, informacja o pozycji w kolejce)</w:t>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Brama ISDN E1 - VoIP (wymagania: 1 port T1/E1/J1, obsługa 30 jednoczesnych połączeń)</w:t>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Telefon cyfrowy VoIP – przewodowy do podłączenia do nowej centrali telefonicznej – 25 szt. (wymagania: zasilanie POE, 2 porty 10/100/1000 Mbps, 6 kont SIP, 3 linie)</w:t>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Baza DECT VoIP do telefonu bezprzewodowego cyfrowego – 5 szt. (wymagania: obsługa do 10 kont SIP i 5 jednoczesnych połączeń, port Ethernet z obsługą zasilania POE, zasięg w pomieszczeniach do 50 metrów)</w:t>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Telefon bezprzewodowy (słuchawka DECT IP) współpracujący z zaoferowaną bazą  – 8 szt.</w:t>
      </w:r>
    </w:p>
    <w:p>
      <w:pPr>
        <w:pStyle w:val="NoSpacing"/>
        <w:numPr>
          <w:ilvl w:val="0"/>
          <w:numId w:val="2"/>
        </w:numPr>
        <w:spacing w:lineRule="auto" w:line="360"/>
        <w:ind w:left="714" w:hanging="357"/>
        <w:rPr>
          <w:rFonts w:ascii="Times New Roman" w:hAnsi="Times New Roman" w:cs="Times New Roman"/>
          <w:sz w:val="24"/>
          <w:szCs w:val="24"/>
        </w:rPr>
      </w:pPr>
      <w:r>
        <w:rPr>
          <w:rFonts w:cs="Times New Roman" w:ascii="Times New Roman" w:hAnsi="Times New Roman"/>
          <w:sz w:val="24"/>
          <w:szCs w:val="24"/>
        </w:rPr>
        <w:t>Konfiguracja urządzeń centrali telefonicznej (konfiguracja numeracji wewnętrznej wraz z usługami, uruchomienie łączy „miejskich", uruchomienie ruchu przychodzącego i wychodzącego; uruchomienie systemu IVR, systemu kolejkowania współpracującego z oprogramowaniem z pakietu nr 2, uruchomienie grup dzwonienia, Pick-Up itp.)</w:t>
      </w:r>
    </w:p>
    <w:p>
      <w:pPr>
        <w:pStyle w:val="NoSpacing"/>
        <w:spacing w:lineRule="auto" w:line="360"/>
        <w:ind w:left="714" w:hanging="357"/>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5) Pakiet nr 5 – sprzęt IT</w:t>
      </w:r>
    </w:p>
    <w:p>
      <w:pPr>
        <w:pStyle w:val="NoSpacing"/>
        <w:spacing w:lineRule="auto" w:line="360"/>
        <w:ind w:left="714" w:hanging="357"/>
        <w:rPr>
          <w:rFonts w:ascii="Times New Roman" w:hAnsi="Times New Roman" w:cs="Times New Roman"/>
          <w:sz w:val="24"/>
          <w:szCs w:val="24"/>
        </w:rPr>
      </w:pPr>
      <w:r>
        <w:rPr>
          <w:rFonts w:cs="Times New Roman" w:ascii="Times New Roman" w:hAnsi="Times New Roman"/>
          <w:sz w:val="24"/>
          <w:szCs w:val="24"/>
        </w:rPr>
        <w:t>Pakiet obejmuje pozostały sprzęt niezbędny do realizacji przedsięwzięcia.</w:t>
      </w:r>
    </w:p>
    <w:p>
      <w:pPr>
        <w:pStyle w:val="NoSpacing"/>
        <w:spacing w:lineRule="auto" w:line="360"/>
        <w:ind w:left="720" w:hanging="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Pakiet nr 5 – sprzęt IT</w:t>
      </w:r>
    </w:p>
    <w:p>
      <w:pPr>
        <w:pStyle w:val="NoSpacing"/>
        <w:numPr>
          <w:ilvl w:val="0"/>
          <w:numId w:val="2"/>
        </w:numPr>
        <w:spacing w:lineRule="auto" w:line="360"/>
        <w:ind w:left="0" w:hanging="0"/>
        <w:rPr/>
      </w:pPr>
      <w:r>
        <w:rPr>
          <w:rFonts w:cs="Times New Roman" w:ascii="Times New Roman" w:hAnsi="Times New Roman"/>
          <w:sz w:val="24"/>
          <w:szCs w:val="24"/>
          <w:lang w:eastAsia="hi-IN" w:bidi="hi-IN"/>
        </w:rPr>
        <w:t>switch (wymagania: zarządzalny, L2 lub L2/L3, obsługa standardu 802.1Q, 48x gigabitowe porty RJ45 10/100/1000 Mb/s (w tym 40x 1 GbE, 802.3at PoE+ oraz 8x 1 GbE, 802.3bt PoE++), 4 porty SFP+, agregacja portów,  Spanning Tree Protocol (STP), możliwość montażu w szafie Rack 19" 1U)</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6) Pakiet nr 6 – sprzęt IT</w:t>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ab/>
        <w:t>Pakiet obejmuje pozostały sprzęt niezbędny do realizacji przedsięwzięcia.</w:t>
      </w:r>
    </w:p>
    <w:p>
      <w:pPr>
        <w:pStyle w:val="NoSpacing"/>
        <w:spacing w:lineRule="auto" w:line="360"/>
        <w:rPr/>
      </w:pPr>
      <w:r>
        <w:rPr>
          <w:rFonts w:cs="Times New Roman" w:ascii="Times New Roman" w:hAnsi="Times New Roman"/>
          <w:b/>
          <w:bCs/>
          <w:sz w:val="24"/>
          <w:szCs w:val="24"/>
          <w:lang w:eastAsia="hi-IN" w:bidi="hi-IN"/>
        </w:rPr>
        <w:tab/>
        <w:t>Pakiet nr 6 – sprzęt IT</w:t>
      </w:r>
      <w:r>
        <w:rPr>
          <w:rFonts w:cs="Times New Roman" w:ascii="Times New Roman" w:hAnsi="Times New Roman"/>
          <w:sz w:val="24"/>
          <w:szCs w:val="24"/>
          <w:lang w:eastAsia="hi-IN" w:bidi="hi-IN"/>
        </w:rPr>
        <w:t xml:space="preserve"> </w:t>
      </w:r>
    </w:p>
    <w:p>
      <w:pPr>
        <w:pStyle w:val="NoSpacing"/>
        <w:numPr>
          <w:ilvl w:val="0"/>
          <w:numId w:val="2"/>
        </w:numPr>
        <w:spacing w:lineRule="auto" w:line="360"/>
        <w:ind w:left="0" w:hanging="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switch (wymagania: zarządzalny, L2, obsługa standardu 802.1Q, 16 portów RJ45 10/100/1000 Mb/s w tym 8x portów PoE+ 802.3af/at)</w:t>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r>
    </w:p>
    <w:p>
      <w:pPr>
        <w:pStyle w:val="NoSpacing"/>
        <w:spacing w:lineRule="auto" w:line="360"/>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7) Pakiet nr 7 – sprzęt IT</w:t>
      </w:r>
    </w:p>
    <w:p>
      <w:pPr>
        <w:pStyle w:val="NoSpacing"/>
        <w:spacing w:lineRule="auto" w:line="360"/>
        <w:ind w:left="714" w:hanging="357"/>
        <w:rPr>
          <w:rFonts w:ascii="Times New Roman" w:hAnsi="Times New Roman" w:cs="Times New Roman"/>
          <w:sz w:val="24"/>
          <w:szCs w:val="24"/>
          <w:lang w:eastAsia="hi-IN" w:bidi="hi-IN"/>
        </w:rPr>
      </w:pPr>
      <w:r>
        <w:rPr>
          <w:rFonts w:cs="Times New Roman" w:ascii="Times New Roman" w:hAnsi="Times New Roman"/>
          <w:sz w:val="24"/>
          <w:szCs w:val="24"/>
          <w:lang w:eastAsia="hi-IN" w:bidi="hi-IN"/>
        </w:rPr>
        <w:t>Pakiet obejmuje pozostały sprzęt niezbędny do realizacji przedsięwzięcia.</w:t>
      </w:r>
    </w:p>
    <w:p>
      <w:pPr>
        <w:pStyle w:val="NoSpacing"/>
        <w:spacing w:lineRule="auto" w:line="36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ab/>
        <w:t>Pakiet nr 7 – sprzęt IT</w:t>
      </w:r>
    </w:p>
    <w:p>
      <w:pPr>
        <w:pStyle w:val="NoSpacing"/>
        <w:numPr>
          <w:ilvl w:val="0"/>
          <w:numId w:val="2"/>
        </w:numPr>
        <w:spacing w:lineRule="auto" w:line="360"/>
        <w:ind w:left="0" w:hanging="0"/>
        <w:rPr>
          <w:rFonts w:ascii="Times New Roman" w:hAnsi="Times New Roman" w:cs="Times New Roman"/>
          <w:sz w:val="24"/>
          <w:szCs w:val="24"/>
        </w:rPr>
      </w:pPr>
      <w:r>
        <w:rPr>
          <w:rFonts w:cs="Times New Roman" w:ascii="Times New Roman" w:hAnsi="Times New Roman"/>
          <w:sz w:val="24"/>
          <w:szCs w:val="24"/>
        </w:rPr>
        <w:t>UPS do serwera (wymagania: moc znamionowa 1500VA, port komunikacyjny USB, 8x gniazd IEC C13, montaż w szafie rack 2U, napięcie wyjściowe 230V)</w:t>
      </w:r>
    </w:p>
    <w:p>
      <w:pPr>
        <w:pStyle w:val="NoSpacing"/>
        <w:spacing w:lineRule="auto" w:line="360"/>
        <w:rPr/>
      </w:pPr>
      <w:r>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8) Pakiet nr 8 – sprzęt IT</w:t>
      </w:r>
    </w:p>
    <w:p>
      <w:pPr>
        <w:pStyle w:val="NoSpacing"/>
        <w:spacing w:lineRule="auto" w:line="360"/>
        <w:ind w:left="714" w:hanging="357"/>
        <w:rPr>
          <w:rFonts w:ascii="Times New Roman" w:hAnsi="Times New Roman" w:cs="Times New Roman"/>
          <w:sz w:val="24"/>
          <w:szCs w:val="24"/>
        </w:rPr>
      </w:pPr>
      <w:r>
        <w:rPr>
          <w:rFonts w:cs="Times New Roman" w:ascii="Times New Roman" w:hAnsi="Times New Roman"/>
          <w:sz w:val="24"/>
          <w:szCs w:val="24"/>
        </w:rPr>
        <w:t>Pakiet obejmuje pozostały sprzęt niezbędny do realizacji przedsięwzięcia.</w:t>
      </w:r>
    </w:p>
    <w:p>
      <w:pPr>
        <w:pStyle w:val="NoSpacing"/>
        <w:spacing w:lineRule="auto" w:line="360"/>
        <w:rPr>
          <w:rFonts w:ascii="Times New Roman" w:hAnsi="Times New Roman" w:cs="Times New Roman"/>
          <w:b/>
          <w:b/>
          <w:bCs/>
          <w:sz w:val="24"/>
          <w:szCs w:val="24"/>
          <w:lang w:eastAsia="hi-IN" w:bidi="hi-IN"/>
        </w:rPr>
      </w:pPr>
      <w:r>
        <w:rPr>
          <w:rFonts w:cs="Times New Roman" w:ascii="Times New Roman" w:hAnsi="Times New Roman"/>
          <w:b/>
          <w:bCs/>
          <w:sz w:val="24"/>
          <w:szCs w:val="24"/>
          <w:lang w:eastAsia="hi-IN" w:bidi="hi-IN"/>
        </w:rPr>
        <w:tab/>
        <w:t>Pakiet nr 8 – sprzęt IT</w:t>
      </w:r>
    </w:p>
    <w:p>
      <w:pPr>
        <w:pStyle w:val="NoSpacing"/>
        <w:numPr>
          <w:ilvl w:val="0"/>
          <w:numId w:val="2"/>
        </w:numPr>
        <w:spacing w:lineRule="auto" w:line="360"/>
        <w:ind w:left="0" w:hanging="0"/>
        <w:rPr>
          <w:rFonts w:ascii="Times New Roman" w:hAnsi="Times New Roman" w:cs="Times New Roman"/>
          <w:sz w:val="24"/>
          <w:szCs w:val="24"/>
        </w:rPr>
      </w:pPr>
      <w:r>
        <w:rPr>
          <w:rFonts w:cs="Times New Roman" w:ascii="Times New Roman" w:hAnsi="Times New Roman"/>
          <w:sz w:val="24"/>
          <w:szCs w:val="24"/>
        </w:rPr>
        <w:t>szafa Rack (stojąca, z kółkami, standard 19”, szerokość 600mm, głębokość 800mm, wysokość 22U, przeszklone drzwi przednie z zamkiem, wentylatory)</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Zamawiający informuje, że tam, gdzie został wskazany znak towarowy, patent, pochodzenie, źródło lub szczególny proces (który charakteryzuje produkty lub usługi dostarczane przez konkretnego Wykonawcę), normy polskie  PN przenoszące normy europejskie lub międzynarodowe, europejskie normy lub oceny techniczne, aprobaty, wspólne specyfikacje techniczne lub systemy referencji technicznych,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 Jeżeli w opisie przedmiotu zamówienia znajdują się wskazania przykładowych znaków towarowych, patentów lub pochodzenia, źródła lub szczególnego procesu (który charakteryzuje produkty lub usługi dostarczane przez konkretnego Wykonawcę), Wykonawca może zaoferować przedmioty równoważne. Zamawiający wymaga, aby użyte materiały, o ile są inne, posiadały parametry jakościowe i techniczne oraz standardy nie gorsze niż określone w przedmiocie zamówienia. Wykonawca jest zobowiązany udowodnić w ofercie, w szczególności za pomocą przedmiotowych środków dowodowych, że proponowane rozwiązania w równoważnym stopniu spełniają wymagania określone w opisie przedmiotu zamówienia. Istotne dla Zamawiającego cechy i parametry, to takie, które pozwolą zachować wszystkim systemom, urządzeniom, wyrobom, parametry i cechy pozwalające przede wszystkim na prawidłowa współprace z innymi urządzeniami i/lub wyrobami w sposób założony przez Zamawiającego oraz pozwalające przy tym uzyskać parametry nie gorsze od założonych w Złączniku nr 1A do ZO. Ciężar udowodnienia równoważności spoczywa na Wykonawcy.</w:t>
      </w:r>
    </w:p>
    <w:sectPr>
      <w:headerReference w:type="default" r:id="rId2"/>
      <w:headerReference w:type="first" r:id="rId3"/>
      <w:footnotePr>
        <w:numFmt w:val="decimal"/>
      </w:footnotePr>
      <w:type w:val="nextPage"/>
      <w:pgSz w:w="11906" w:h="16838"/>
      <w:pgMar w:left="1417" w:right="1417" w:gutter="0" w:header="708" w:top="1417" w:footer="0"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Black">
    <w:charset w:val="ee"/>
    <w:family w:val="roman"/>
    <w:pitch w:val="variable"/>
  </w:font>
  <w:font w:name="OpenSymbol">
    <w:altName w:val="Arial Unicode MS"/>
    <w:charset w:val="ee"/>
    <w:family w:val="roman"/>
    <w:pitch w:val="variable"/>
  </w:font>
  <w:font w:name="ArialMT">
    <w:charset w:val="ee"/>
    <w:family w:val="roman"/>
    <w:pitch w:val="variable"/>
  </w:font>
  <w:font w:name="Liberation Sans">
    <w:altName w:val="Arial"/>
    <w:charset w:val="ee"/>
    <w:family w:val="roman"/>
    <w:pitch w:val="variable"/>
  </w:font>
  <w:font w:name="Garamond">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160"/>
        <w:rPr/>
      </w:pPr>
      <w:r>
        <w:rPr>
          <w:rStyle w:val="Znakiprzypiswdolnych"/>
        </w:rPr>
        <w:footnoteRef/>
      </w:r>
      <w:r>
        <w:rPr/>
        <w:t xml:space="preserve"> </w:t>
      </w:r>
      <w:r>
        <w:rPr/>
        <w:t xml:space="preserve">Dokument dostępny pod dresem: </w:t>
      </w:r>
      <w:hyperlink r:id="rId1">
        <w:r>
          <w:rPr>
            <w:rStyle w:val="Czeinternetowe"/>
          </w:rPr>
          <w:t>https://e-inwestycje.mz.gov.pl/wybranykonkurs/?id=d12d04d6-0c39-ed11-9db1-000d3aaa0b3a</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pacing w:before="0" w:after="160"/>
      <w:rPr>
        <w:lang w:eastAsia="pl-PL"/>
      </w:rPr>
    </w:pPr>
    <w:r>
      <w:rPr/>
      <w:drawing>
        <wp:inline distT="0" distB="0" distL="0" distR="0">
          <wp:extent cx="5732145" cy="67437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31" t="-267" r="-31" b="-267"/>
                  <a:stretch>
                    <a:fillRect/>
                  </a:stretch>
                </pic:blipFill>
                <pic:spPr bwMode="auto">
                  <a:xfrm>
                    <a:off x="0" y="0"/>
                    <a:ext cx="5732145" cy="6743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pPr>
      <w:widowControl/>
      <w:suppressAutoHyphens w:val="true"/>
      <w:bidi w:val="0"/>
      <w:spacing w:lineRule="auto" w:line="360" w:before="0" w:after="160"/>
      <w:jc w:val="both"/>
    </w:pPr>
    <w:rPr>
      <w:rFonts w:ascii="Arial" w:hAnsi="Arial" w:eastAsia="Calibri" w:cs="Arial"/>
      <w:color w:val="auto"/>
      <w:kern w:val="0"/>
      <w:sz w:val="24"/>
      <w:szCs w:val="22"/>
      <w:lang w:val="pl-PL" w:eastAsia="zh-CN" w:bidi="ar-SA"/>
    </w:rPr>
  </w:style>
  <w:style w:type="paragraph" w:styleId="Nagwek1">
    <w:name w:val="Heading 1"/>
    <w:basedOn w:val="Normal"/>
    <w:next w:val="Normal"/>
    <w:uiPriority w:val="9"/>
    <w:qFormat/>
    <w:pPr>
      <w:keepNext w:val="true"/>
      <w:numPr>
        <w:ilvl w:val="0"/>
        <w:numId w:val="1"/>
      </w:numPr>
      <w:spacing w:before="240" w:after="60"/>
      <w:outlineLvl w:val="0"/>
    </w:pPr>
    <w:rPr>
      <w:rFonts w:eastAsia="Times New Roman" w:cs="Times New Roman"/>
      <w:b/>
      <w:bCs/>
      <w:kern w:val="2"/>
      <w:sz w:val="32"/>
      <w:szCs w:val="32"/>
    </w:rPr>
  </w:style>
  <w:style w:type="paragraph" w:styleId="Nagwek2">
    <w:name w:val="Heading 2"/>
    <w:basedOn w:val="Normal"/>
    <w:next w:val="Normal"/>
    <w:uiPriority w:val="9"/>
    <w:semiHidden/>
    <w:unhideWhenUsed/>
    <w:qFormat/>
    <w:pPr>
      <w:keepNext w:val="true"/>
      <w:numPr>
        <w:ilvl w:val="1"/>
        <w:numId w:val="1"/>
      </w:numPr>
      <w:spacing w:before="240" w:after="60"/>
      <w:outlineLvl w:val="1"/>
    </w:pPr>
    <w:rPr>
      <w:rFonts w:eastAsia="Times New Roman" w:cs="Times New Roman"/>
      <w:b/>
      <w:bCs/>
      <w:i/>
      <w:iCs/>
      <w:sz w:val="28"/>
      <w:szCs w:val="28"/>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rPr>
  </w:style>
  <w:style w:type="character" w:styleId="WW8Num3z0" w:customStyle="1">
    <w:name w:val="WW8Num3z0"/>
    <w:qFormat/>
    <w:rPr>
      <w:rFonts w:ascii="Symbol" w:hAnsi="Symbol" w:cs="Symbol"/>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3" w:customStyle="1">
    <w:name w:val="WW8Num12z3"/>
    <w:qFormat/>
    <w:rPr>
      <w:rFonts w:ascii="Symbol" w:hAnsi="Symbol" w:cs="Symbol"/>
    </w:rPr>
  </w:style>
  <w:style w:type="character" w:styleId="WW8Num12z5" w:customStyle="1">
    <w:name w:val="WW8Num12z5"/>
    <w:qFormat/>
    <w:rPr>
      <w:rFonts w:ascii="Wingdings" w:hAnsi="Wingdings" w:cs="Wingdings"/>
    </w:rPr>
  </w:style>
  <w:style w:type="character" w:styleId="WW8Num13z3" w:customStyle="1">
    <w:name w:val="WW8Num13z3"/>
    <w:qFormat/>
    <w:rPr>
      <w:rFonts w:ascii="Symbol" w:hAnsi="Symbol" w:cs="Symbol"/>
    </w:rPr>
  </w:style>
  <w:style w:type="character" w:styleId="WW8Num13z5" w:customStyle="1">
    <w:name w:val="WW8Num13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3" w:customStyle="1">
    <w:name w:val="WW8Num30z3"/>
    <w:qFormat/>
    <w:rPr>
      <w:rFonts w:ascii="Symbol" w:hAnsi="Symbol" w:cs="Symbol"/>
    </w:rPr>
  </w:style>
  <w:style w:type="character" w:styleId="WW8Num30z5" w:customStyle="1">
    <w:name w:val="WW8Num30z5"/>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3" w:customStyle="1">
    <w:name w:val="WW8Num32z3"/>
    <w:qFormat/>
    <w:rPr>
      <w:rFonts w:ascii="Symbol" w:hAnsi="Symbol" w:cs="Symbol"/>
    </w:rPr>
  </w:style>
  <w:style w:type="character" w:styleId="WW8Num32z5" w:customStyle="1">
    <w:name w:val="WW8Num32z5"/>
    <w:qFormat/>
    <w:rPr>
      <w:rFonts w:ascii="Wingdings" w:hAnsi="Wingdings" w:cs="Wingdings"/>
    </w:rPr>
  </w:style>
  <w:style w:type="character" w:styleId="WW8Num33z3" w:customStyle="1">
    <w:name w:val="WW8Num33z3"/>
    <w:qFormat/>
    <w:rPr>
      <w:rFonts w:ascii="Symbol" w:hAnsi="Symbol" w:cs="Symbol"/>
    </w:rPr>
  </w:style>
  <w:style w:type="character" w:styleId="WW8Num33z5" w:customStyle="1">
    <w:name w:val="WW8Num33z5"/>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6z0" w:customStyle="1">
    <w:name w:val="WW8Num36z0"/>
    <w:qFormat/>
    <w:rPr>
      <w:rFonts w:ascii="Symbol" w:hAnsi="Symbol" w:cs="Symbol"/>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Nagwek1Znak" w:customStyle="1">
    <w:name w:val="Nagłówek 1 Znak"/>
    <w:qFormat/>
    <w:rPr>
      <w:rFonts w:ascii="Arial" w:hAnsi="Arial" w:eastAsia="Times New Roman" w:cs="Times New Roman"/>
      <w:b/>
      <w:bCs/>
      <w:kern w:val="2"/>
      <w:sz w:val="32"/>
      <w:szCs w:val="32"/>
    </w:rPr>
  </w:style>
  <w:style w:type="character" w:styleId="Nagwek2Znak" w:customStyle="1">
    <w:name w:val="Nagłówek 2 Znak"/>
    <w:qFormat/>
    <w:rPr>
      <w:rFonts w:ascii="Arial" w:hAnsi="Arial" w:eastAsia="Times New Roman" w:cs="Times New Roman"/>
      <w:b/>
      <w:bCs/>
      <w:i/>
      <w:iCs/>
      <w:sz w:val="28"/>
      <w:szCs w:val="28"/>
    </w:rPr>
  </w:style>
  <w:style w:type="character" w:styleId="TytuZnak" w:customStyle="1">
    <w:name w:val="Tytuł Znak"/>
    <w:qFormat/>
    <w:rPr>
      <w:rFonts w:ascii="Arial Black" w:hAnsi="Arial Black" w:eastAsia="Times New Roman" w:cs="Times New Roman"/>
      <w:b/>
      <w:bCs/>
      <w:kern w:val="2"/>
      <w:sz w:val="32"/>
      <w:szCs w:val="32"/>
    </w:rPr>
  </w:style>
  <w:style w:type="character" w:styleId="NagwekZnak" w:customStyle="1">
    <w:name w:val="Nagłówek Znak"/>
    <w:qFormat/>
    <w:rPr>
      <w:rFonts w:ascii="Arial" w:hAnsi="Arial" w:cs="Arial"/>
      <w:sz w:val="24"/>
      <w:szCs w:val="22"/>
    </w:rPr>
  </w:style>
  <w:style w:type="character" w:styleId="StopkaZnak" w:customStyle="1">
    <w:name w:val="Stopka Znak"/>
    <w:qFormat/>
    <w:rPr>
      <w:rFonts w:ascii="Arial" w:hAnsi="Arial" w:cs="Arial"/>
      <w:sz w:val="24"/>
      <w:szCs w:val="22"/>
    </w:rPr>
  </w:style>
  <w:style w:type="character" w:styleId="Mocnewyrnione" w:customStyle="1">
    <w:name w:val="Mocne wyróżnione"/>
    <w:qFormat/>
    <w:rPr>
      <w:b/>
      <w:bCs/>
    </w:rPr>
  </w:style>
  <w:style w:type="character" w:styleId="Czeinternetowe" w:customStyle="1">
    <w:name w:val="Łącze internetowe"/>
    <w:rPr>
      <w:color w:val="0563C1"/>
      <w:u w:val="single"/>
    </w:rPr>
  </w:style>
  <w:style w:type="character" w:styleId="UnresolvedMention">
    <w:name w:val="Unresolved Mention"/>
    <w:qFormat/>
    <w:rPr>
      <w:color w:val="605E5C"/>
      <w:shd w:fill="E1DFDD" w:val="clear"/>
    </w:rPr>
  </w:style>
  <w:style w:type="character" w:styleId="TekstprzypisudolnegoZnak" w:customStyle="1">
    <w:name w:val="Tekst przypisu dolnego Znak"/>
    <w:qFormat/>
    <w:rPr>
      <w:rFonts w:ascii="Arial" w:hAnsi="Arial" w:cs="Arial"/>
    </w:rPr>
  </w:style>
  <w:style w:type="character" w:styleId="Znakiprzypiswdolnych" w:customStyle="1">
    <w:name w:val="Znaki przypisów dolnych"/>
    <w:qFormat/>
    <w:rPr>
      <w:vertAlign w:val="superscript"/>
    </w:rPr>
  </w:style>
  <w:style w:type="character" w:styleId="Zakotwiczenieprzypisudolnego" w:customStyle="1">
    <w:name w:val="Zakotwiczenie przypisu dolnego"/>
    <w:rPr>
      <w:vertAlign w:val="superscript"/>
    </w:rPr>
  </w:style>
  <w:style w:type="character" w:styleId="Znakinumeracji" w:customStyle="1">
    <w:name w:val="Znaki numeracji"/>
    <w:qFormat/>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Znakiprzypiswkocowych" w:customStyle="1">
    <w:name w:val="Znaki przypisów końcowych"/>
    <w:qFormat/>
    <w:rPr>
      <w:vertAlign w:val="superscript"/>
    </w:rPr>
  </w:style>
  <w:style w:type="character" w:styleId="WWZnakiprzypiswkocowych" w:customStyle="1">
    <w:name w:val="WW-Znaki przypisów końcowych"/>
    <w:qFormat/>
    <w:rPr/>
  </w:style>
  <w:style w:type="character" w:styleId="Zakotwiczenieprzypisukocowego" w:customStyle="1">
    <w:name w:val="Zakotwiczenie przypisu końcowego"/>
    <w:rPr>
      <w:vertAlign w:val="superscript"/>
    </w:rPr>
  </w:style>
  <w:style w:type="character" w:styleId="Fontstyle01" w:customStyle="1">
    <w:name w:val="fontstyle01"/>
    <w:basedOn w:val="DefaultParagraphFont"/>
    <w:qFormat/>
    <w:rPr>
      <w:rFonts w:ascii="ArialMT" w:hAnsi="ArialMT"/>
      <w:b w:val="false"/>
      <w:bCs w:val="false"/>
      <w:i w:val="false"/>
      <w:iCs w:val="false"/>
      <w:color w:val="434343"/>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next w:val="Tretekstu"/>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i/>
      <w:iCs/>
      <w:szCs w:val="24"/>
    </w:rPr>
  </w:style>
  <w:style w:type="paragraph" w:styleId="NoSpacing">
    <w:name w:val="No Spacing"/>
    <w:qFormat/>
    <w:pPr>
      <w:widowControl/>
      <w:suppressAutoHyphens w:val="true"/>
      <w:bidi w:val="0"/>
      <w:spacing w:before="0" w:after="0"/>
      <w:jc w:val="both"/>
    </w:pPr>
    <w:rPr>
      <w:rFonts w:ascii="Arial" w:hAnsi="Arial" w:eastAsia="Calibri" w:cs="Arial"/>
      <w:color w:val="auto"/>
      <w:kern w:val="0"/>
      <w:sz w:val="22"/>
      <w:szCs w:val="22"/>
      <w:lang w:val="pl-PL" w:eastAsia="zh-CN" w:bidi="ar-SA"/>
    </w:rPr>
  </w:style>
  <w:style w:type="paragraph" w:styleId="Stopka">
    <w:name w:val="Footer"/>
    <w:basedOn w:val="Normal"/>
    <w:pPr>
      <w:tabs>
        <w:tab w:val="clear" w:pos="708"/>
        <w:tab w:val="center" w:pos="4536" w:leader="none"/>
        <w:tab w:val="right" w:pos="9072" w:leader="none"/>
      </w:tabs>
    </w:pPr>
    <w:rPr/>
  </w:style>
  <w:style w:type="paragraph" w:styleId="ListParagraph">
    <w:name w:val="List Paragraph"/>
    <w:basedOn w:val="Normal"/>
    <w:qFormat/>
    <w:pPr>
      <w:spacing w:lineRule="auto" w:line="240" w:before="0" w:after="0"/>
      <w:ind w:left="720" w:hanging="0"/>
      <w:contextualSpacing/>
      <w:jc w:val="left"/>
    </w:pPr>
    <w:rPr>
      <w:rFonts w:ascii="Garamond" w:hAnsi="Garamond" w:eastAsia="Times New Roman" w:cs="Garamond"/>
      <w:szCs w:val="20"/>
    </w:rPr>
  </w:style>
  <w:style w:type="paragraph" w:styleId="Styl" w:customStyle="1">
    <w:name w:val="Styl"/>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Przypisdolny">
    <w:name w:val="Footnote Text"/>
    <w:basedOn w:val="Normal"/>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e-inwestycje.mz.gov.pl/wybranykonkurs/?id=d12d04d6-0c39-ed11-9db1-000d3aaa0b3a"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LibreOffice/7.3.3.2$Windows_X86_64 LibreOffice_project/d1d0ea68f081ee2800a922cac8f79445e4603348</Application>
  <AppVersion>15.0000</AppVersion>
  <Pages>10</Pages>
  <Words>2931</Words>
  <Characters>20254</Characters>
  <CharactersWithSpaces>23012</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2023-04-18T11:52:00Z</dcterms:created>
  <dc:creator>Joanna Błażej</dc:creator>
  <dc:description/>
  <dc:language>pl-PL</dc:language>
  <cp:lastModifiedBy/>
  <dcterms:modified xsi:type="dcterms:W3CDTF">2023-04-19T21:29:46Z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